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217" w:firstLineChars="45"/>
        <w:jc w:val="center"/>
        <w:rPr>
          <w:b/>
          <w:color w:val="auto"/>
          <w:sz w:val="48"/>
          <w:szCs w:val="48"/>
        </w:rPr>
      </w:pPr>
      <w:r>
        <w:rPr>
          <w:b/>
          <w:color w:val="auto"/>
          <w:sz w:val="48"/>
          <w:szCs w:val="48"/>
        </w:rPr>
        <w:t>舟山市正源标准件有限公司</w:t>
      </w: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199" w:firstLineChars="45"/>
        <w:jc w:val="center"/>
        <w:rPr>
          <w:b/>
          <w:color w:val="auto"/>
          <w:sz w:val="44"/>
          <w:szCs w:val="44"/>
        </w:rPr>
      </w:pPr>
    </w:p>
    <w:p>
      <w:pPr>
        <w:spacing w:line="240" w:lineRule="auto"/>
        <w:ind w:firstLine="325" w:firstLineChars="45"/>
        <w:jc w:val="center"/>
        <w:rPr>
          <w:rFonts w:asciiTheme="minorEastAsia" w:hAnsiTheme="minorEastAsia" w:eastAsiaTheme="minorEastAsia"/>
          <w:b/>
          <w:color w:val="auto"/>
          <w:sz w:val="72"/>
          <w:szCs w:val="72"/>
        </w:rPr>
      </w:pPr>
    </w:p>
    <w:p>
      <w:pPr>
        <w:spacing w:line="240" w:lineRule="auto"/>
        <w:ind w:firstLine="325" w:firstLineChars="45"/>
        <w:jc w:val="center"/>
        <w:rPr>
          <w:b/>
          <w:color w:val="auto"/>
          <w:sz w:val="72"/>
          <w:szCs w:val="72"/>
        </w:rPr>
      </w:pPr>
      <w:r>
        <w:rPr>
          <w:rFonts w:hint="eastAsia"/>
          <w:b/>
          <w:color w:val="auto"/>
          <w:sz w:val="72"/>
          <w:szCs w:val="72"/>
        </w:rPr>
        <w:t>201</w:t>
      </w:r>
      <w:r>
        <w:rPr>
          <w:rFonts w:hint="eastAsia"/>
          <w:b/>
          <w:color w:val="auto"/>
          <w:sz w:val="72"/>
          <w:szCs w:val="72"/>
          <w:lang w:val="en-US" w:eastAsia="zh-CN"/>
        </w:rPr>
        <w:t>9</w:t>
      </w:r>
      <w:r>
        <w:rPr>
          <w:rFonts w:hint="eastAsia"/>
          <w:b/>
          <w:color w:val="auto"/>
          <w:sz w:val="72"/>
          <w:szCs w:val="72"/>
        </w:rPr>
        <w:t>年社会责任报告</w:t>
      </w:r>
    </w:p>
    <w:p>
      <w:pPr>
        <w:ind w:firstLine="198" w:firstLineChars="66"/>
        <w:jc w:val="center"/>
        <w:rPr>
          <w:color w:val="auto"/>
          <w:sz w:val="30"/>
          <w:szCs w:val="30"/>
        </w:rPr>
      </w:pPr>
    </w:p>
    <w:p>
      <w:pPr>
        <w:ind w:firstLine="198" w:firstLineChars="66"/>
        <w:jc w:val="center"/>
        <w:rPr>
          <w:color w:val="auto"/>
          <w:sz w:val="30"/>
          <w:szCs w:val="30"/>
        </w:rPr>
      </w:pPr>
    </w:p>
    <w:p>
      <w:pPr>
        <w:ind w:firstLine="198" w:firstLineChars="66"/>
        <w:jc w:val="center"/>
        <w:rPr>
          <w:color w:val="auto"/>
          <w:sz w:val="30"/>
          <w:szCs w:val="30"/>
        </w:rPr>
      </w:pPr>
    </w:p>
    <w:p>
      <w:pPr>
        <w:ind w:firstLine="198" w:firstLineChars="66"/>
        <w:jc w:val="center"/>
        <w:rPr>
          <w:color w:val="auto"/>
          <w:sz w:val="30"/>
          <w:szCs w:val="30"/>
        </w:rPr>
      </w:pPr>
    </w:p>
    <w:p>
      <w:pPr>
        <w:ind w:firstLine="198" w:firstLineChars="66"/>
        <w:jc w:val="center"/>
        <w:rPr>
          <w:color w:val="auto"/>
          <w:sz w:val="30"/>
          <w:szCs w:val="30"/>
        </w:rPr>
      </w:pPr>
    </w:p>
    <w:p>
      <w:pPr>
        <w:ind w:firstLine="198" w:firstLineChars="66"/>
        <w:jc w:val="center"/>
        <w:rPr>
          <w:color w:val="auto"/>
          <w:sz w:val="30"/>
          <w:szCs w:val="30"/>
        </w:rPr>
      </w:pPr>
    </w:p>
    <w:p>
      <w:pPr>
        <w:ind w:firstLine="198" w:firstLineChars="66"/>
        <w:jc w:val="center"/>
        <w:rPr>
          <w:rFonts w:asciiTheme="minorEastAsia" w:hAnsiTheme="minorEastAsia" w:eastAsiaTheme="minorEastAsia"/>
          <w:color w:val="auto"/>
          <w:sz w:val="30"/>
          <w:szCs w:val="30"/>
        </w:rPr>
      </w:pPr>
    </w:p>
    <w:p>
      <w:pPr>
        <w:spacing w:line="240" w:lineRule="auto"/>
        <w:ind w:firstLine="217" w:firstLineChars="45"/>
        <w:jc w:val="center"/>
        <w:rPr>
          <w:b/>
          <w:color w:val="auto"/>
          <w:sz w:val="48"/>
        </w:rPr>
      </w:pPr>
      <w:r>
        <w:rPr>
          <w:rFonts w:hint="eastAsia"/>
          <w:b/>
          <w:color w:val="auto"/>
          <w:sz w:val="48"/>
        </w:rPr>
        <w:t>20</w:t>
      </w:r>
      <w:r>
        <w:rPr>
          <w:rFonts w:hint="eastAsia"/>
          <w:b/>
          <w:color w:val="auto"/>
          <w:sz w:val="48"/>
          <w:lang w:val="en-US" w:eastAsia="zh-CN"/>
        </w:rPr>
        <w:t>20</w:t>
      </w:r>
      <w:r>
        <w:rPr>
          <w:rFonts w:hint="eastAsia"/>
          <w:b/>
          <w:color w:val="auto"/>
          <w:sz w:val="48"/>
        </w:rPr>
        <w:t>年</w:t>
      </w:r>
      <w:r>
        <w:rPr>
          <w:rFonts w:hint="eastAsia"/>
          <w:b/>
          <w:color w:val="auto"/>
          <w:sz w:val="48"/>
          <w:lang w:val="en-US" w:eastAsia="zh-CN"/>
        </w:rPr>
        <w:t>9</w:t>
      </w:r>
      <w:r>
        <w:rPr>
          <w:rFonts w:hint="eastAsia"/>
          <w:b/>
          <w:color w:val="auto"/>
          <w:sz w:val="48"/>
        </w:rPr>
        <w:t>月</w:t>
      </w:r>
    </w:p>
    <w:p>
      <w:pPr>
        <w:adjustRightInd/>
        <w:snapToGrid/>
        <w:spacing w:after="200" w:line="220" w:lineRule="atLeast"/>
        <w:ind w:firstLine="0" w:firstLineChars="0"/>
        <w:jc w:val="left"/>
        <w:rPr>
          <w:color w:val="auto"/>
        </w:rPr>
      </w:pPr>
      <w:r>
        <w:rPr>
          <w:color w:val="auto"/>
        </w:rPr>
        <w:br w:type="page"/>
      </w:r>
    </w:p>
    <w:p>
      <w:pPr>
        <w:spacing w:line="360" w:lineRule="auto"/>
        <w:ind w:firstLine="482"/>
        <w:rPr>
          <w:rFonts w:asciiTheme="minorEastAsia" w:hAnsiTheme="minorEastAsia" w:eastAsiaTheme="minorEastAsia"/>
          <w:b/>
          <w:snapToGrid w:val="0"/>
          <w:color w:val="auto"/>
        </w:rPr>
      </w:pPr>
      <w:r>
        <w:rPr>
          <w:rFonts w:hint="eastAsia" w:asciiTheme="minorEastAsia" w:hAnsiTheme="minorEastAsia" w:eastAsiaTheme="minorEastAsia"/>
          <w:b/>
          <w:snapToGrid w:val="0"/>
          <w:color w:val="auto"/>
        </w:rPr>
        <w:t>报告简介</w:t>
      </w:r>
    </w:p>
    <w:p>
      <w:pPr>
        <w:spacing w:line="360" w:lineRule="auto"/>
        <w:ind w:firstLine="48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报告本着客观、透明、全面的原则，阐述了公司201</w:t>
      </w:r>
      <w:r>
        <w:rPr>
          <w:rFonts w:hint="eastAsia" w:asciiTheme="minorEastAsia" w:hAnsiTheme="minorEastAsia" w:eastAsiaTheme="minorEastAsia"/>
          <w:snapToGrid w:val="0"/>
          <w:color w:val="auto"/>
          <w:lang w:val="en-US" w:eastAsia="zh-CN"/>
        </w:rPr>
        <w:t>9</w:t>
      </w:r>
      <w:r>
        <w:rPr>
          <w:rFonts w:hint="eastAsia" w:asciiTheme="minorEastAsia" w:hAnsiTheme="minorEastAsia" w:eastAsiaTheme="minorEastAsia"/>
          <w:snapToGrid w:val="0"/>
          <w:color w:val="auto"/>
        </w:rPr>
        <w:t>年在实现自身发展的同时，积极履行社会责任的具体内容，披露了公司履行经济、环保和社会责任方面的理念、践行和成绩。</w:t>
      </w:r>
    </w:p>
    <w:p>
      <w:pPr>
        <w:spacing w:line="360" w:lineRule="auto"/>
        <w:ind w:firstLine="482"/>
        <w:rPr>
          <w:rFonts w:asciiTheme="minorEastAsia" w:hAnsiTheme="minorEastAsia" w:eastAsiaTheme="minorEastAsia"/>
          <w:b/>
          <w:snapToGrid w:val="0"/>
          <w:color w:val="auto"/>
        </w:rPr>
      </w:pPr>
      <w:r>
        <w:rPr>
          <w:rFonts w:hint="eastAsia" w:asciiTheme="minorEastAsia" w:hAnsiTheme="minorEastAsia" w:eastAsiaTheme="minorEastAsia"/>
          <w:b/>
          <w:snapToGrid w:val="0"/>
          <w:color w:val="auto"/>
        </w:rPr>
        <w:t>编制依据</w:t>
      </w:r>
    </w:p>
    <w:p>
      <w:pPr>
        <w:spacing w:line="360" w:lineRule="auto"/>
        <w:ind w:firstLine="48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本报告编制遵循《“浙江制造”评价规范第一部分：通用要求》、《中国企业社会责任报告编写指南（CASS-CSR3.0）》和国家标准《GB/T 36000社会责任指南（2015）》的规定。</w:t>
      </w:r>
    </w:p>
    <w:p>
      <w:pPr>
        <w:spacing w:line="360" w:lineRule="auto"/>
        <w:ind w:firstLine="482"/>
        <w:rPr>
          <w:rFonts w:asciiTheme="minorEastAsia" w:hAnsiTheme="minorEastAsia" w:eastAsiaTheme="minorEastAsia"/>
          <w:b/>
          <w:snapToGrid w:val="0"/>
          <w:color w:val="auto"/>
        </w:rPr>
      </w:pPr>
      <w:r>
        <w:rPr>
          <w:rFonts w:hint="eastAsia" w:asciiTheme="minorEastAsia" w:hAnsiTheme="minorEastAsia" w:eastAsiaTheme="minorEastAsia"/>
          <w:b/>
          <w:snapToGrid w:val="0"/>
          <w:color w:val="auto"/>
        </w:rPr>
        <w:t>时间范围</w:t>
      </w:r>
    </w:p>
    <w:p>
      <w:pPr>
        <w:spacing w:line="360" w:lineRule="auto"/>
        <w:ind w:firstLine="48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本报告的201</w:t>
      </w:r>
      <w:r>
        <w:rPr>
          <w:rFonts w:hint="eastAsia" w:asciiTheme="minorEastAsia" w:hAnsiTheme="minorEastAsia" w:eastAsiaTheme="minorEastAsia"/>
          <w:snapToGrid w:val="0"/>
          <w:color w:val="auto"/>
          <w:lang w:val="en-US" w:eastAsia="zh-CN"/>
        </w:rPr>
        <w:t>9</w:t>
      </w:r>
      <w:r>
        <w:rPr>
          <w:rFonts w:hint="eastAsia" w:asciiTheme="minorEastAsia" w:hAnsiTheme="minorEastAsia" w:eastAsiaTheme="minorEastAsia"/>
          <w:snapToGrid w:val="0"/>
          <w:color w:val="auto"/>
        </w:rPr>
        <w:t>年或报告期指201</w:t>
      </w:r>
      <w:r>
        <w:rPr>
          <w:rFonts w:hint="eastAsia" w:asciiTheme="minorEastAsia" w:hAnsiTheme="minorEastAsia" w:eastAsiaTheme="minorEastAsia"/>
          <w:snapToGrid w:val="0"/>
          <w:color w:val="auto"/>
          <w:lang w:val="en-US" w:eastAsia="zh-CN"/>
        </w:rPr>
        <w:t>9</w:t>
      </w:r>
      <w:r>
        <w:rPr>
          <w:rFonts w:hint="eastAsia" w:asciiTheme="minorEastAsia" w:hAnsiTheme="minorEastAsia" w:eastAsiaTheme="minorEastAsia"/>
          <w:snapToGrid w:val="0"/>
          <w:color w:val="auto"/>
        </w:rPr>
        <w:t>年1月1日至201</w:t>
      </w:r>
      <w:r>
        <w:rPr>
          <w:rFonts w:hint="eastAsia" w:asciiTheme="minorEastAsia" w:hAnsiTheme="minorEastAsia" w:eastAsiaTheme="minorEastAsia"/>
          <w:snapToGrid w:val="0"/>
          <w:color w:val="auto"/>
          <w:lang w:val="en-US" w:eastAsia="zh-CN"/>
        </w:rPr>
        <w:t>9</w:t>
      </w:r>
      <w:r>
        <w:rPr>
          <w:rFonts w:hint="eastAsia" w:asciiTheme="minorEastAsia" w:hAnsiTheme="minorEastAsia" w:eastAsiaTheme="minorEastAsia"/>
          <w:snapToGrid w:val="0"/>
          <w:color w:val="auto"/>
        </w:rPr>
        <w:t>年12月31日。</w:t>
      </w:r>
    </w:p>
    <w:p>
      <w:pPr>
        <w:spacing w:line="360" w:lineRule="auto"/>
        <w:ind w:firstLine="482"/>
        <w:rPr>
          <w:rFonts w:asciiTheme="minorEastAsia" w:hAnsiTheme="minorEastAsia" w:eastAsiaTheme="minorEastAsia"/>
          <w:b/>
          <w:snapToGrid w:val="0"/>
          <w:color w:val="auto"/>
        </w:rPr>
      </w:pPr>
      <w:r>
        <w:rPr>
          <w:rFonts w:hint="eastAsia" w:asciiTheme="minorEastAsia" w:hAnsiTheme="minorEastAsia" w:eastAsiaTheme="minorEastAsia"/>
          <w:b/>
          <w:snapToGrid w:val="0"/>
          <w:color w:val="auto"/>
        </w:rPr>
        <w:t>报告的编写和审定</w:t>
      </w:r>
    </w:p>
    <w:p>
      <w:pPr>
        <w:spacing w:line="360" w:lineRule="auto"/>
        <w:ind w:firstLine="48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本报告由</w:t>
      </w:r>
      <w:r>
        <w:rPr>
          <w:rFonts w:asciiTheme="minorEastAsia" w:hAnsiTheme="minorEastAsia" w:eastAsiaTheme="minorEastAsia"/>
          <w:snapToGrid w:val="0"/>
          <w:color w:val="auto"/>
        </w:rPr>
        <w:t>舟山市正源标准件有限公司</w:t>
      </w:r>
      <w:r>
        <w:rPr>
          <w:rFonts w:hint="eastAsia" w:asciiTheme="minorEastAsia" w:hAnsiTheme="minorEastAsia" w:eastAsiaTheme="minorEastAsia"/>
          <w:snapToGrid w:val="0"/>
          <w:color w:val="auto"/>
        </w:rPr>
        <w:t>编写，由</w:t>
      </w:r>
      <w:r>
        <w:rPr>
          <w:rFonts w:asciiTheme="minorEastAsia" w:hAnsiTheme="minorEastAsia" w:eastAsiaTheme="minorEastAsia"/>
          <w:snapToGrid w:val="0"/>
          <w:color w:val="auto"/>
        </w:rPr>
        <w:t>舟山市正源标准件有限公司</w:t>
      </w:r>
      <w:r>
        <w:rPr>
          <w:rFonts w:hint="eastAsia" w:asciiTheme="minorEastAsia" w:hAnsiTheme="minorEastAsia" w:eastAsiaTheme="minorEastAsia"/>
          <w:snapToGrid w:val="0"/>
          <w:color w:val="auto"/>
        </w:rPr>
        <w:t>总经理审定。</w:t>
      </w:r>
    </w:p>
    <w:p>
      <w:pPr>
        <w:spacing w:line="360" w:lineRule="auto"/>
        <w:ind w:firstLine="482"/>
        <w:rPr>
          <w:rFonts w:asciiTheme="minorEastAsia" w:hAnsiTheme="minorEastAsia" w:eastAsiaTheme="minorEastAsia"/>
          <w:b/>
          <w:snapToGrid w:val="0"/>
          <w:color w:val="auto"/>
        </w:rPr>
      </w:pPr>
      <w:r>
        <w:rPr>
          <w:rFonts w:hint="eastAsia" w:asciiTheme="minorEastAsia" w:hAnsiTheme="minorEastAsia" w:eastAsiaTheme="minorEastAsia"/>
          <w:b/>
          <w:snapToGrid w:val="0"/>
          <w:color w:val="auto"/>
        </w:rPr>
        <w:t>组织范围</w:t>
      </w:r>
    </w:p>
    <w:p>
      <w:pPr>
        <w:spacing w:line="360" w:lineRule="auto"/>
        <w:ind w:firstLine="48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本报告覆盖</w:t>
      </w:r>
      <w:r>
        <w:rPr>
          <w:rFonts w:asciiTheme="minorEastAsia" w:hAnsiTheme="minorEastAsia" w:eastAsiaTheme="minorEastAsia"/>
          <w:snapToGrid w:val="0"/>
          <w:color w:val="auto"/>
        </w:rPr>
        <w:t>舟山市正源标准件有限公司</w:t>
      </w:r>
      <w:r>
        <w:rPr>
          <w:rFonts w:hint="eastAsia" w:asciiTheme="minorEastAsia" w:hAnsiTheme="minorEastAsia" w:eastAsiaTheme="minorEastAsia"/>
          <w:snapToGrid w:val="0"/>
          <w:color w:val="auto"/>
        </w:rPr>
        <w:t>。</w:t>
      </w:r>
    </w:p>
    <w:p>
      <w:pPr>
        <w:spacing w:line="360" w:lineRule="auto"/>
        <w:ind w:firstLine="482"/>
        <w:rPr>
          <w:rFonts w:asciiTheme="minorEastAsia" w:hAnsiTheme="minorEastAsia" w:eastAsiaTheme="minorEastAsia"/>
          <w:b/>
          <w:snapToGrid w:val="0"/>
          <w:color w:val="auto"/>
        </w:rPr>
      </w:pPr>
      <w:r>
        <w:rPr>
          <w:rFonts w:hint="eastAsia" w:asciiTheme="minorEastAsia" w:hAnsiTheme="minorEastAsia" w:eastAsiaTheme="minorEastAsia"/>
          <w:b/>
          <w:snapToGrid w:val="0"/>
          <w:color w:val="auto"/>
        </w:rPr>
        <w:t>报告发布</w:t>
      </w:r>
    </w:p>
    <w:p>
      <w:pPr>
        <w:spacing w:line="360" w:lineRule="auto"/>
        <w:ind w:firstLine="48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本报告以电子版形式发布，可在</w:t>
      </w:r>
      <w:r>
        <w:rPr>
          <w:rFonts w:asciiTheme="minorEastAsia" w:hAnsiTheme="minorEastAsia" w:eastAsiaTheme="minorEastAsia"/>
          <w:snapToGrid w:val="0"/>
          <w:color w:val="auto"/>
        </w:rPr>
        <w:t>舟山市正源标准件有限公司</w:t>
      </w:r>
      <w:r>
        <w:rPr>
          <w:rFonts w:hint="eastAsia" w:asciiTheme="minorEastAsia" w:hAnsiTheme="minorEastAsia" w:eastAsiaTheme="minorEastAsia"/>
          <w:snapToGrid w:val="0"/>
          <w:color w:val="auto"/>
        </w:rPr>
        <w:t>官网（</w:t>
      </w:r>
      <w:r>
        <w:rPr>
          <w:rFonts w:asciiTheme="minorEastAsia" w:hAnsiTheme="minorEastAsia" w:eastAsiaTheme="minorEastAsia"/>
          <w:snapToGrid w:val="0"/>
          <w:color w:val="auto"/>
        </w:rPr>
        <w:t>http://www.zszyss.com</w:t>
      </w:r>
      <w:r>
        <w:rPr>
          <w:rFonts w:hint="eastAsia" w:asciiTheme="minorEastAsia" w:hAnsiTheme="minorEastAsia" w:eastAsiaTheme="minorEastAsia"/>
          <w:snapToGrid w:val="0"/>
          <w:color w:val="auto"/>
        </w:rPr>
        <w:t>）查阅与下载。</w:t>
      </w:r>
    </w:p>
    <w:p>
      <w:pPr>
        <w:adjustRightInd/>
        <w:snapToGrid/>
        <w:spacing w:after="200" w:line="220" w:lineRule="atLeast"/>
        <w:ind w:firstLine="0" w:firstLineChars="0"/>
        <w:jc w:val="left"/>
        <w:rPr>
          <w:color w:val="auto"/>
        </w:rPr>
      </w:pPr>
      <w:r>
        <w:rPr>
          <w:color w:val="auto"/>
        </w:rPr>
        <w:br w:type="page"/>
      </w:r>
    </w:p>
    <w:sdt>
      <w:sdtPr>
        <w:rPr>
          <w:rFonts w:ascii="宋体" w:hAnsi="宋体" w:eastAsia="宋体" w:cstheme="minorBidi"/>
          <w:sz w:val="32"/>
          <w:szCs w:val="32"/>
          <w:lang w:val="en-US" w:eastAsia="zh-CN" w:bidi="ar-SA"/>
        </w:rPr>
        <w:id w:val="147472021"/>
        <w15:color w:val="DBDBDB"/>
        <w:docPartObj>
          <w:docPartGallery w:val="Table of Contents"/>
          <w:docPartUnique/>
        </w:docPartObj>
      </w:sdtPr>
      <w:sdtEndPr>
        <w:rPr>
          <w:rFonts w:ascii="Times New Roman" w:hAnsi="Times New Roman" w:eastAsia="宋体" w:cstheme="minorBidi"/>
          <w:b/>
          <w:color w:val="auto"/>
          <w:sz w:val="24"/>
          <w:szCs w:val="30"/>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16"/>
            <w:tabs>
              <w:tab w:val="right" w:leader="dot" w:pos="8306"/>
            </w:tabs>
            <w:ind w:left="0" w:leftChars="0" w:firstLine="0" w:firstLineChars="0"/>
          </w:pPr>
          <w:r>
            <w:rPr>
              <w:color w:val="auto"/>
              <w:sz w:val="30"/>
              <w:szCs w:val="30"/>
            </w:rPr>
            <w:fldChar w:fldCharType="begin"/>
          </w:r>
          <w:r>
            <w:rPr>
              <w:color w:val="auto"/>
              <w:sz w:val="30"/>
              <w:szCs w:val="30"/>
            </w:rPr>
            <w:instrText xml:space="preserve">TOC \o "1-2" \h \u </w:instrText>
          </w:r>
          <w:r>
            <w:rPr>
              <w:color w:val="auto"/>
              <w:sz w:val="30"/>
              <w:szCs w:val="30"/>
            </w:rPr>
            <w:fldChar w:fldCharType="separate"/>
          </w:r>
          <w:r>
            <w:rPr>
              <w:color w:val="auto"/>
              <w:szCs w:val="30"/>
            </w:rPr>
            <w:fldChar w:fldCharType="begin"/>
          </w:r>
          <w:r>
            <w:rPr>
              <w:szCs w:val="30"/>
            </w:rPr>
            <w:instrText xml:space="preserve"> HYPERLINK \l _Toc2007 </w:instrText>
          </w:r>
          <w:r>
            <w:rPr>
              <w:szCs w:val="30"/>
            </w:rPr>
            <w:fldChar w:fldCharType="separate"/>
          </w:r>
          <w:r>
            <w:rPr>
              <w:rFonts w:hint="eastAsia"/>
              <w:szCs w:val="30"/>
              <w:lang w:eastAsia="zh-CN"/>
            </w:rPr>
            <w:t>第一章</w:t>
          </w:r>
          <w:r>
            <w:rPr>
              <w:rFonts w:hint="eastAsia"/>
              <w:szCs w:val="30"/>
              <w:lang w:val="en-US" w:eastAsia="zh-CN"/>
            </w:rPr>
            <w:t xml:space="preserve">  </w:t>
          </w:r>
          <w:r>
            <w:rPr>
              <w:rFonts w:hint="eastAsia"/>
              <w:szCs w:val="30"/>
            </w:rPr>
            <w:t>关于正源</w:t>
          </w:r>
          <w:r>
            <w:tab/>
          </w:r>
          <w:r>
            <w:fldChar w:fldCharType="begin"/>
          </w:r>
          <w:r>
            <w:instrText xml:space="preserve"> PAGEREF _Toc2007 </w:instrText>
          </w:r>
          <w:r>
            <w:fldChar w:fldCharType="separate"/>
          </w:r>
          <w:r>
            <w:t>4</w:t>
          </w:r>
          <w:r>
            <w:fldChar w:fldCharType="end"/>
          </w:r>
          <w:r>
            <w:rPr>
              <w:color w:val="auto"/>
              <w:szCs w:val="30"/>
            </w:rPr>
            <w:fldChar w:fldCharType="end"/>
          </w:r>
        </w:p>
        <w:p>
          <w:pPr>
            <w:pStyle w:val="17"/>
            <w:tabs>
              <w:tab w:val="right" w:leader="dot" w:pos="8306"/>
            </w:tabs>
            <w:ind w:left="0" w:leftChars="0" w:firstLine="480" w:firstLineChars="200"/>
          </w:pPr>
          <w:r>
            <w:rPr>
              <w:color w:val="auto"/>
              <w:szCs w:val="30"/>
            </w:rPr>
            <w:fldChar w:fldCharType="begin"/>
          </w:r>
          <w:r>
            <w:rPr>
              <w:szCs w:val="30"/>
            </w:rPr>
            <w:instrText xml:space="preserve"> HYPERLINK \l _Toc3973 </w:instrText>
          </w:r>
          <w:r>
            <w:rPr>
              <w:szCs w:val="30"/>
            </w:rPr>
            <w:fldChar w:fldCharType="separate"/>
          </w:r>
          <w:r>
            <w:rPr>
              <w:rFonts w:hint="eastAsia"/>
            </w:rPr>
            <w:t>一</w:t>
          </w:r>
          <w:r>
            <w:rPr>
              <w:rFonts w:hint="eastAsia"/>
              <w:lang w:eastAsia="zh-CN"/>
            </w:rPr>
            <w:t>、</w:t>
          </w:r>
          <w:r>
            <w:rPr>
              <w:rFonts w:hint="eastAsia"/>
            </w:rPr>
            <w:t>公司概况</w:t>
          </w:r>
          <w:r>
            <w:tab/>
          </w:r>
          <w:r>
            <w:fldChar w:fldCharType="begin"/>
          </w:r>
          <w:r>
            <w:instrText xml:space="preserve"> PAGEREF _Toc3973 </w:instrText>
          </w:r>
          <w:r>
            <w:fldChar w:fldCharType="separate"/>
          </w:r>
          <w:r>
            <w:t>4</w:t>
          </w:r>
          <w:r>
            <w:fldChar w:fldCharType="end"/>
          </w:r>
          <w:r>
            <w:rPr>
              <w:color w:val="auto"/>
              <w:szCs w:val="30"/>
            </w:rPr>
            <w:fldChar w:fldCharType="end"/>
          </w:r>
        </w:p>
        <w:p>
          <w:pPr>
            <w:pStyle w:val="17"/>
            <w:tabs>
              <w:tab w:val="right" w:leader="dot" w:pos="8306"/>
            </w:tabs>
          </w:pPr>
          <w:r>
            <w:rPr>
              <w:color w:val="auto"/>
              <w:szCs w:val="30"/>
            </w:rPr>
            <w:fldChar w:fldCharType="begin"/>
          </w:r>
          <w:r>
            <w:rPr>
              <w:szCs w:val="30"/>
            </w:rPr>
            <w:instrText xml:space="preserve"> HYPERLINK \l _Toc2964 </w:instrText>
          </w:r>
          <w:r>
            <w:rPr>
              <w:szCs w:val="30"/>
            </w:rPr>
            <w:fldChar w:fldCharType="separate"/>
          </w:r>
          <w:r>
            <w:rPr>
              <w:rFonts w:hint="eastAsia"/>
              <w:lang w:eastAsia="zh-CN"/>
            </w:rPr>
            <w:t>（一）公司简介</w:t>
          </w:r>
          <w:r>
            <w:tab/>
          </w:r>
          <w:r>
            <w:fldChar w:fldCharType="begin"/>
          </w:r>
          <w:r>
            <w:instrText xml:space="preserve"> PAGEREF _Toc2964 </w:instrText>
          </w:r>
          <w:r>
            <w:fldChar w:fldCharType="separate"/>
          </w:r>
          <w:r>
            <w:t>4</w:t>
          </w:r>
          <w:r>
            <w:fldChar w:fldCharType="end"/>
          </w:r>
          <w:r>
            <w:rPr>
              <w:color w:val="auto"/>
              <w:szCs w:val="30"/>
            </w:rPr>
            <w:fldChar w:fldCharType="end"/>
          </w:r>
        </w:p>
        <w:p>
          <w:pPr>
            <w:pStyle w:val="17"/>
            <w:tabs>
              <w:tab w:val="right" w:leader="dot" w:pos="8306"/>
            </w:tabs>
          </w:pPr>
          <w:r>
            <w:rPr>
              <w:color w:val="auto"/>
              <w:szCs w:val="30"/>
            </w:rPr>
            <w:fldChar w:fldCharType="begin"/>
          </w:r>
          <w:r>
            <w:rPr>
              <w:szCs w:val="30"/>
            </w:rPr>
            <w:instrText xml:space="preserve"> HYPERLINK \l _Toc1870 </w:instrText>
          </w:r>
          <w:r>
            <w:rPr>
              <w:szCs w:val="30"/>
            </w:rPr>
            <w:fldChar w:fldCharType="separate"/>
          </w:r>
          <w:r>
            <w:rPr>
              <w:rFonts w:hint="eastAsia"/>
            </w:rPr>
            <w:t>（二）</w:t>
          </w:r>
          <w:r>
            <w:rPr>
              <w:rFonts w:hint="eastAsia"/>
              <w:lang w:eastAsia="zh-CN"/>
            </w:rPr>
            <w:t>组织架构</w:t>
          </w:r>
          <w:r>
            <w:tab/>
          </w:r>
          <w:r>
            <w:fldChar w:fldCharType="begin"/>
          </w:r>
          <w:r>
            <w:instrText xml:space="preserve"> PAGEREF _Toc1870 </w:instrText>
          </w:r>
          <w:r>
            <w:fldChar w:fldCharType="separate"/>
          </w:r>
          <w:r>
            <w:t>6</w:t>
          </w:r>
          <w:r>
            <w:fldChar w:fldCharType="end"/>
          </w:r>
          <w:r>
            <w:rPr>
              <w:color w:val="auto"/>
              <w:szCs w:val="30"/>
            </w:rPr>
            <w:fldChar w:fldCharType="end"/>
          </w:r>
        </w:p>
        <w:p>
          <w:pPr>
            <w:pStyle w:val="17"/>
            <w:tabs>
              <w:tab w:val="right" w:leader="dot" w:pos="8306"/>
            </w:tabs>
          </w:pPr>
          <w:r>
            <w:rPr>
              <w:color w:val="auto"/>
              <w:szCs w:val="30"/>
            </w:rPr>
            <w:fldChar w:fldCharType="begin"/>
          </w:r>
          <w:r>
            <w:rPr>
              <w:szCs w:val="30"/>
            </w:rPr>
            <w:instrText xml:space="preserve"> HYPERLINK \l _Toc6316 </w:instrText>
          </w:r>
          <w:r>
            <w:rPr>
              <w:szCs w:val="30"/>
            </w:rPr>
            <w:fldChar w:fldCharType="separate"/>
          </w:r>
          <w:r>
            <w:rPr>
              <w:rFonts w:hint="eastAsia"/>
              <w:lang w:eastAsia="zh-CN"/>
            </w:rPr>
            <w:t>（三）发展战略</w:t>
          </w:r>
          <w:r>
            <w:tab/>
          </w:r>
          <w:r>
            <w:fldChar w:fldCharType="begin"/>
          </w:r>
          <w:r>
            <w:instrText xml:space="preserve"> PAGEREF _Toc6316 </w:instrText>
          </w:r>
          <w:r>
            <w:fldChar w:fldCharType="separate"/>
          </w:r>
          <w:r>
            <w:t>6</w:t>
          </w:r>
          <w:r>
            <w:fldChar w:fldCharType="end"/>
          </w:r>
          <w:r>
            <w:rPr>
              <w:color w:val="auto"/>
              <w:szCs w:val="30"/>
            </w:rPr>
            <w:fldChar w:fldCharType="end"/>
          </w:r>
        </w:p>
        <w:p>
          <w:pPr>
            <w:pStyle w:val="16"/>
            <w:tabs>
              <w:tab w:val="right" w:leader="dot" w:pos="8306"/>
            </w:tabs>
          </w:pPr>
          <w:r>
            <w:rPr>
              <w:color w:val="auto"/>
              <w:szCs w:val="30"/>
            </w:rPr>
            <w:fldChar w:fldCharType="begin"/>
          </w:r>
          <w:r>
            <w:rPr>
              <w:szCs w:val="30"/>
            </w:rPr>
            <w:instrText xml:space="preserve"> HYPERLINK \l _Toc5058 </w:instrText>
          </w:r>
          <w:r>
            <w:rPr>
              <w:szCs w:val="30"/>
            </w:rPr>
            <w:fldChar w:fldCharType="separate"/>
          </w:r>
          <w:r>
            <w:rPr>
              <w:rFonts w:hint="eastAsia"/>
              <w:lang w:eastAsia="zh-CN"/>
            </w:rPr>
            <w:t>二、 企业治理</w:t>
          </w:r>
          <w:r>
            <w:tab/>
          </w:r>
          <w:r>
            <w:fldChar w:fldCharType="begin"/>
          </w:r>
          <w:r>
            <w:instrText xml:space="preserve"> PAGEREF _Toc5058 </w:instrText>
          </w:r>
          <w:r>
            <w:fldChar w:fldCharType="separate"/>
          </w:r>
          <w:r>
            <w:t>7</w:t>
          </w:r>
          <w:r>
            <w:fldChar w:fldCharType="end"/>
          </w:r>
          <w:r>
            <w:rPr>
              <w:color w:val="auto"/>
              <w:szCs w:val="30"/>
            </w:rPr>
            <w:fldChar w:fldCharType="end"/>
          </w:r>
        </w:p>
        <w:p>
          <w:pPr>
            <w:pStyle w:val="16"/>
            <w:tabs>
              <w:tab w:val="right" w:leader="dot" w:pos="8306"/>
            </w:tabs>
          </w:pPr>
          <w:r>
            <w:rPr>
              <w:color w:val="auto"/>
              <w:szCs w:val="30"/>
            </w:rPr>
            <w:fldChar w:fldCharType="begin"/>
          </w:r>
          <w:r>
            <w:rPr>
              <w:szCs w:val="30"/>
            </w:rPr>
            <w:instrText xml:space="preserve"> HYPERLINK \l _Toc11042 </w:instrText>
          </w:r>
          <w:r>
            <w:rPr>
              <w:szCs w:val="30"/>
            </w:rPr>
            <w:fldChar w:fldCharType="separate"/>
          </w:r>
          <w:r>
            <w:rPr>
              <w:rFonts w:hint="eastAsia"/>
              <w:lang w:eastAsia="zh-CN"/>
            </w:rPr>
            <w:t>三、 企业文化</w:t>
          </w:r>
          <w:r>
            <w:tab/>
          </w:r>
          <w:r>
            <w:fldChar w:fldCharType="begin"/>
          </w:r>
          <w:r>
            <w:instrText xml:space="preserve"> PAGEREF _Toc11042 </w:instrText>
          </w:r>
          <w:r>
            <w:fldChar w:fldCharType="separate"/>
          </w:r>
          <w:r>
            <w:t>8</w:t>
          </w:r>
          <w:r>
            <w:fldChar w:fldCharType="end"/>
          </w:r>
          <w:r>
            <w:rPr>
              <w:color w:val="auto"/>
              <w:szCs w:val="30"/>
            </w:rPr>
            <w:fldChar w:fldCharType="end"/>
          </w:r>
        </w:p>
        <w:p>
          <w:pPr>
            <w:pStyle w:val="16"/>
            <w:tabs>
              <w:tab w:val="right" w:leader="dot" w:pos="8306"/>
            </w:tabs>
          </w:pPr>
          <w:r>
            <w:rPr>
              <w:color w:val="auto"/>
              <w:szCs w:val="30"/>
            </w:rPr>
            <w:fldChar w:fldCharType="begin"/>
          </w:r>
          <w:r>
            <w:rPr>
              <w:szCs w:val="30"/>
            </w:rPr>
            <w:instrText xml:space="preserve"> HYPERLINK \l _Toc29320 </w:instrText>
          </w:r>
          <w:r>
            <w:rPr>
              <w:szCs w:val="30"/>
            </w:rPr>
            <w:fldChar w:fldCharType="separate"/>
          </w:r>
          <w:r>
            <w:rPr>
              <w:rFonts w:hint="eastAsia"/>
              <w:lang w:eastAsia="zh-CN"/>
            </w:rPr>
            <w:t xml:space="preserve">四、 </w:t>
          </w:r>
          <w:r>
            <w:rPr>
              <w:rFonts w:hint="eastAsia"/>
              <w:lang w:val="en-US" w:eastAsia="zh-CN"/>
            </w:rPr>
            <w:t>2019年度所获荣誉</w:t>
          </w:r>
          <w:r>
            <w:tab/>
          </w:r>
          <w:r>
            <w:fldChar w:fldCharType="begin"/>
          </w:r>
          <w:r>
            <w:instrText xml:space="preserve"> PAGEREF _Toc29320 </w:instrText>
          </w:r>
          <w:r>
            <w:fldChar w:fldCharType="separate"/>
          </w:r>
          <w:r>
            <w:t>9</w:t>
          </w:r>
          <w:r>
            <w:fldChar w:fldCharType="end"/>
          </w:r>
          <w:r>
            <w:rPr>
              <w:color w:val="auto"/>
              <w:szCs w:val="30"/>
            </w:rPr>
            <w:fldChar w:fldCharType="end"/>
          </w:r>
        </w:p>
        <w:p>
          <w:pPr>
            <w:pStyle w:val="16"/>
            <w:tabs>
              <w:tab w:val="right" w:leader="dot" w:pos="8306"/>
            </w:tabs>
          </w:pPr>
          <w:r>
            <w:rPr>
              <w:color w:val="auto"/>
              <w:szCs w:val="30"/>
            </w:rPr>
            <w:fldChar w:fldCharType="begin"/>
          </w:r>
          <w:r>
            <w:rPr>
              <w:szCs w:val="30"/>
            </w:rPr>
            <w:instrText xml:space="preserve"> HYPERLINK \l _Toc15732 </w:instrText>
          </w:r>
          <w:r>
            <w:rPr>
              <w:szCs w:val="30"/>
            </w:rPr>
            <w:fldChar w:fldCharType="separate"/>
          </w:r>
          <w:r>
            <w:rPr>
              <w:rFonts w:hint="eastAsia"/>
              <w:lang w:eastAsia="zh-CN"/>
            </w:rPr>
            <w:t>五、 社会责任</w:t>
          </w:r>
          <w:r>
            <w:tab/>
          </w:r>
          <w:r>
            <w:fldChar w:fldCharType="begin"/>
          </w:r>
          <w:r>
            <w:instrText xml:space="preserve"> PAGEREF _Toc15732 </w:instrText>
          </w:r>
          <w:r>
            <w:fldChar w:fldCharType="separate"/>
          </w:r>
          <w:r>
            <w:t>9</w:t>
          </w:r>
          <w:r>
            <w:fldChar w:fldCharType="end"/>
          </w:r>
          <w:r>
            <w:rPr>
              <w:color w:val="auto"/>
              <w:szCs w:val="30"/>
            </w:rPr>
            <w:fldChar w:fldCharType="end"/>
          </w:r>
        </w:p>
        <w:p>
          <w:pPr>
            <w:pStyle w:val="16"/>
            <w:tabs>
              <w:tab w:val="right" w:leader="dot" w:pos="8306"/>
            </w:tabs>
            <w:ind w:left="0" w:leftChars="0" w:firstLine="0" w:firstLineChars="0"/>
          </w:pPr>
          <w:r>
            <w:rPr>
              <w:color w:val="auto"/>
              <w:szCs w:val="30"/>
            </w:rPr>
            <w:fldChar w:fldCharType="begin"/>
          </w:r>
          <w:r>
            <w:rPr>
              <w:szCs w:val="30"/>
            </w:rPr>
            <w:instrText xml:space="preserve"> HYPERLINK \l _Toc23627 </w:instrText>
          </w:r>
          <w:r>
            <w:rPr>
              <w:szCs w:val="30"/>
            </w:rPr>
            <w:fldChar w:fldCharType="separate"/>
          </w:r>
          <w:r>
            <w:rPr>
              <w:rFonts w:hint="eastAsia"/>
              <w:szCs w:val="30"/>
              <w:lang w:eastAsia="zh-CN"/>
            </w:rPr>
            <w:t>第二章</w:t>
          </w:r>
          <w:r>
            <w:rPr>
              <w:rFonts w:hint="eastAsia"/>
              <w:szCs w:val="30"/>
              <w:lang w:val="en-US" w:eastAsia="zh-CN"/>
            </w:rPr>
            <w:t xml:space="preserve">  </w:t>
          </w:r>
          <w:r>
            <w:rPr>
              <w:rFonts w:hint="eastAsia"/>
              <w:szCs w:val="30"/>
              <w:lang w:eastAsia="zh-CN"/>
            </w:rPr>
            <w:t>安全生产</w:t>
          </w:r>
          <w:r>
            <w:tab/>
          </w:r>
          <w:r>
            <w:fldChar w:fldCharType="begin"/>
          </w:r>
          <w:r>
            <w:instrText xml:space="preserve"> PAGEREF _Toc23627 </w:instrText>
          </w:r>
          <w:r>
            <w:fldChar w:fldCharType="separate"/>
          </w:r>
          <w:r>
            <w:t>12</w:t>
          </w:r>
          <w:r>
            <w:fldChar w:fldCharType="end"/>
          </w:r>
          <w:r>
            <w:rPr>
              <w:color w:val="auto"/>
              <w:szCs w:val="30"/>
            </w:rPr>
            <w:fldChar w:fldCharType="end"/>
          </w:r>
        </w:p>
        <w:p>
          <w:pPr>
            <w:pStyle w:val="16"/>
            <w:tabs>
              <w:tab w:val="right" w:leader="dot" w:pos="8306"/>
            </w:tabs>
          </w:pPr>
          <w:r>
            <w:rPr>
              <w:color w:val="auto"/>
              <w:szCs w:val="30"/>
            </w:rPr>
            <w:fldChar w:fldCharType="begin"/>
          </w:r>
          <w:r>
            <w:rPr>
              <w:szCs w:val="30"/>
            </w:rPr>
            <w:instrText xml:space="preserve"> HYPERLINK \l _Toc6177 </w:instrText>
          </w:r>
          <w:r>
            <w:rPr>
              <w:szCs w:val="30"/>
            </w:rPr>
            <w:fldChar w:fldCharType="separate"/>
          </w:r>
          <w:r>
            <w:rPr>
              <w:rFonts w:hint="eastAsia" w:ascii="Times New Roman" w:hAnsi="Times New Roman"/>
              <w:lang w:eastAsia="zh-CN"/>
            </w:rPr>
            <w:t>一、组织体系</w:t>
          </w:r>
          <w:r>
            <w:tab/>
          </w:r>
          <w:r>
            <w:fldChar w:fldCharType="begin"/>
          </w:r>
          <w:r>
            <w:instrText xml:space="preserve"> PAGEREF _Toc6177 </w:instrText>
          </w:r>
          <w:r>
            <w:fldChar w:fldCharType="separate"/>
          </w:r>
          <w:r>
            <w:t>12</w:t>
          </w:r>
          <w:r>
            <w:fldChar w:fldCharType="end"/>
          </w:r>
          <w:r>
            <w:rPr>
              <w:color w:val="auto"/>
              <w:szCs w:val="30"/>
            </w:rPr>
            <w:fldChar w:fldCharType="end"/>
          </w:r>
        </w:p>
        <w:p>
          <w:pPr>
            <w:pStyle w:val="17"/>
            <w:tabs>
              <w:tab w:val="right" w:leader="dot" w:pos="8306"/>
            </w:tabs>
            <w:ind w:left="0" w:leftChars="0" w:firstLine="480" w:firstLineChars="200"/>
            <w:rPr>
              <w:b w:val="0"/>
              <w:bCs w:val="0"/>
              <w:color w:val="auto"/>
              <w:szCs w:val="30"/>
            </w:rPr>
          </w:pPr>
          <w:r>
            <w:rPr>
              <w:b w:val="0"/>
              <w:bCs w:val="0"/>
              <w:color w:val="auto"/>
              <w:szCs w:val="30"/>
            </w:rPr>
            <w:fldChar w:fldCharType="begin"/>
          </w:r>
          <w:r>
            <w:rPr>
              <w:b w:val="0"/>
              <w:bCs w:val="0"/>
              <w:szCs w:val="30"/>
            </w:rPr>
            <w:instrText xml:space="preserve"> HYPERLINK \l _Toc5628 </w:instrText>
          </w:r>
          <w:r>
            <w:rPr>
              <w:b w:val="0"/>
              <w:bCs w:val="0"/>
              <w:szCs w:val="30"/>
            </w:rPr>
            <w:fldChar w:fldCharType="separate"/>
          </w:r>
          <w:r>
            <w:rPr>
              <w:rFonts w:hint="eastAsia" w:ascii="宋体" w:hAnsi="宋体" w:eastAsia="宋体" w:cs="宋体"/>
              <w:b w:val="0"/>
              <w:bCs w:val="0"/>
              <w:kern w:val="44"/>
              <w:szCs w:val="44"/>
              <w:lang w:val="en-US" w:eastAsia="zh-CN" w:bidi="ar-SA"/>
            </w:rPr>
            <w:t>二、安全、健康因素的识别和措施</w:t>
          </w:r>
          <w:r>
            <w:rPr>
              <w:b w:val="0"/>
              <w:bCs w:val="0"/>
            </w:rPr>
            <w:tab/>
          </w:r>
          <w:r>
            <w:rPr>
              <w:b w:val="0"/>
              <w:bCs w:val="0"/>
            </w:rPr>
            <w:fldChar w:fldCharType="begin"/>
          </w:r>
          <w:r>
            <w:rPr>
              <w:b w:val="0"/>
              <w:bCs w:val="0"/>
            </w:rPr>
            <w:instrText xml:space="preserve"> PAGEREF _Toc5628 </w:instrText>
          </w:r>
          <w:r>
            <w:rPr>
              <w:b w:val="0"/>
              <w:bCs w:val="0"/>
            </w:rPr>
            <w:fldChar w:fldCharType="separate"/>
          </w:r>
          <w:r>
            <w:rPr>
              <w:b w:val="0"/>
              <w:bCs w:val="0"/>
            </w:rPr>
            <w:t>12</w:t>
          </w:r>
          <w:r>
            <w:rPr>
              <w:b w:val="0"/>
              <w:bCs w:val="0"/>
            </w:rPr>
            <w:fldChar w:fldCharType="end"/>
          </w:r>
          <w:r>
            <w:rPr>
              <w:b w:val="0"/>
              <w:bCs w:val="0"/>
              <w:color w:val="auto"/>
              <w:szCs w:val="30"/>
            </w:rPr>
            <w:fldChar w:fldCharType="end"/>
          </w:r>
        </w:p>
        <w:p>
          <w:pPr>
            <w:pStyle w:val="17"/>
            <w:tabs>
              <w:tab w:val="right" w:leader="dot" w:pos="8306"/>
            </w:tabs>
            <w:ind w:left="0" w:leftChars="0" w:firstLine="480" w:firstLineChars="200"/>
            <w:rPr>
              <w:b w:val="0"/>
              <w:bCs w:val="0"/>
            </w:rPr>
          </w:pPr>
          <w:r>
            <w:rPr>
              <w:b w:val="0"/>
              <w:bCs w:val="0"/>
              <w:color w:val="auto"/>
              <w:szCs w:val="30"/>
            </w:rPr>
            <w:fldChar w:fldCharType="begin"/>
          </w:r>
          <w:r>
            <w:rPr>
              <w:b w:val="0"/>
              <w:bCs w:val="0"/>
              <w:szCs w:val="30"/>
            </w:rPr>
            <w:instrText xml:space="preserve"> HYPERLINK \l _Toc22791 </w:instrText>
          </w:r>
          <w:r>
            <w:rPr>
              <w:b w:val="0"/>
              <w:bCs w:val="0"/>
              <w:szCs w:val="30"/>
            </w:rPr>
            <w:fldChar w:fldCharType="separate"/>
          </w:r>
          <w:r>
            <w:rPr>
              <w:rFonts w:hint="eastAsia" w:ascii="宋体" w:hAnsi="宋体" w:eastAsia="宋体" w:cs="宋体"/>
              <w:b w:val="0"/>
              <w:bCs w:val="0"/>
              <w:kern w:val="44"/>
              <w:szCs w:val="44"/>
              <w:lang w:val="en-US" w:eastAsia="zh-CN" w:bidi="ar-SA"/>
            </w:rPr>
            <w:t>三、安全责任落实</w:t>
          </w:r>
          <w:r>
            <w:rPr>
              <w:b w:val="0"/>
              <w:bCs w:val="0"/>
            </w:rPr>
            <w:tab/>
          </w:r>
          <w:r>
            <w:rPr>
              <w:b w:val="0"/>
              <w:bCs w:val="0"/>
            </w:rPr>
            <w:fldChar w:fldCharType="begin"/>
          </w:r>
          <w:r>
            <w:rPr>
              <w:b w:val="0"/>
              <w:bCs w:val="0"/>
            </w:rPr>
            <w:instrText xml:space="preserve"> PAGEREF _Toc22791 </w:instrText>
          </w:r>
          <w:r>
            <w:rPr>
              <w:b w:val="0"/>
              <w:bCs w:val="0"/>
            </w:rPr>
            <w:fldChar w:fldCharType="separate"/>
          </w:r>
          <w:r>
            <w:rPr>
              <w:b w:val="0"/>
              <w:bCs w:val="0"/>
            </w:rPr>
            <w:t>14</w:t>
          </w:r>
          <w:r>
            <w:rPr>
              <w:b w:val="0"/>
              <w:bCs w:val="0"/>
            </w:rPr>
            <w:fldChar w:fldCharType="end"/>
          </w:r>
          <w:r>
            <w:rPr>
              <w:b w:val="0"/>
              <w:bCs w:val="0"/>
              <w:color w:val="auto"/>
              <w:szCs w:val="30"/>
            </w:rPr>
            <w:fldChar w:fldCharType="end"/>
          </w:r>
        </w:p>
        <w:p>
          <w:pPr>
            <w:pStyle w:val="16"/>
            <w:tabs>
              <w:tab w:val="right" w:leader="dot" w:pos="8306"/>
            </w:tabs>
            <w:ind w:left="0" w:leftChars="0" w:firstLine="0" w:firstLineChars="0"/>
          </w:pPr>
          <w:r>
            <w:rPr>
              <w:color w:val="auto"/>
              <w:szCs w:val="30"/>
            </w:rPr>
            <w:fldChar w:fldCharType="begin"/>
          </w:r>
          <w:r>
            <w:rPr>
              <w:szCs w:val="30"/>
            </w:rPr>
            <w:instrText xml:space="preserve"> HYPERLINK \l _Toc10245 </w:instrText>
          </w:r>
          <w:r>
            <w:rPr>
              <w:szCs w:val="30"/>
            </w:rPr>
            <w:fldChar w:fldCharType="separate"/>
          </w:r>
          <w:r>
            <w:rPr>
              <w:rFonts w:hint="eastAsia"/>
              <w:szCs w:val="30"/>
              <w:lang w:val="en-US" w:eastAsia="zh-CN"/>
            </w:rPr>
            <w:t>第三章 聚焦环境，创造绿色正源</w:t>
          </w:r>
          <w:r>
            <w:tab/>
          </w:r>
          <w:r>
            <w:fldChar w:fldCharType="begin"/>
          </w:r>
          <w:r>
            <w:instrText xml:space="preserve"> PAGEREF _Toc10245 </w:instrText>
          </w:r>
          <w:r>
            <w:fldChar w:fldCharType="separate"/>
          </w:r>
          <w:r>
            <w:t>15</w:t>
          </w:r>
          <w:r>
            <w:fldChar w:fldCharType="end"/>
          </w:r>
          <w:r>
            <w:rPr>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_Toc18650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一、环保理念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_Toc18650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_Toc31322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二、绿色改造大行动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_Toc31322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_Toc12687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三、积极节能减排</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_Toc12687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6"/>
            <w:tabs>
              <w:tab w:val="right" w:leader="dot" w:pos="8306"/>
            </w:tabs>
            <w:ind w:left="0" w:leftChars="0" w:firstLine="0" w:firstLineChars="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_Toc20927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szCs w:val="30"/>
              <w:lang w:eastAsia="zh-CN"/>
            </w:rPr>
            <w:t>第四章</w:t>
          </w:r>
          <w:r>
            <w:rPr>
              <w:rFonts w:hint="default" w:ascii="Times New Roman" w:hAnsi="Times New Roman" w:eastAsia="宋体" w:cs="Times New Roman"/>
              <w:szCs w:val="30"/>
              <w:lang w:val="en-US" w:eastAsia="zh-CN"/>
            </w:rPr>
            <w:t xml:space="preserve">  </w:t>
          </w:r>
          <w:r>
            <w:rPr>
              <w:rFonts w:hint="default" w:ascii="Times New Roman" w:hAnsi="Times New Roman" w:eastAsia="宋体" w:cs="Times New Roman"/>
              <w:szCs w:val="30"/>
              <w:lang w:eastAsia="zh-CN"/>
            </w:rPr>
            <w:t>携手员工，共享发展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_Toc20927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_Toc25841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一、员工权益保障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_Toc25841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_Toc16520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二、员工培训和教育</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_Toc16520 </w:instrText>
          </w:r>
          <w:r>
            <w:rPr>
              <w:rFonts w:hint="default" w:ascii="Times New Roman" w:hAnsi="Times New Roman" w:eastAsia="宋体" w:cs="Times New Roman"/>
            </w:rPr>
            <w:fldChar w:fldCharType="separate"/>
          </w:r>
          <w:r>
            <w:rPr>
              <w:rFonts w:hint="default" w:ascii="Times New Roman" w:hAnsi="Times New Roman" w:eastAsia="宋体" w:cs="Times New Roman"/>
            </w:rPr>
            <w:t>21</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_Toc23791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三、全心全意关爱员工</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_Toc23791 </w:instrText>
          </w:r>
          <w:r>
            <w:rPr>
              <w:rFonts w:hint="default" w:ascii="Times New Roman" w:hAnsi="Times New Roman" w:eastAsia="宋体" w:cs="Times New Roman"/>
            </w:rPr>
            <w:fldChar w:fldCharType="separate"/>
          </w:r>
          <w:r>
            <w:rPr>
              <w:rFonts w:hint="default" w:ascii="Times New Roman" w:hAnsi="Times New Roman" w:eastAsia="宋体" w:cs="Times New Roman"/>
            </w:rPr>
            <w:t>23</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6"/>
            <w:tabs>
              <w:tab w:val="right" w:leader="dot" w:pos="8306"/>
            </w:tabs>
            <w:ind w:left="0" w:leftChars="0" w:firstLine="0" w:firstLineChars="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_Toc28197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szCs w:val="30"/>
              <w:lang w:eastAsia="zh-CN"/>
            </w:rPr>
            <w:t>第五章</w:t>
          </w:r>
          <w:r>
            <w:rPr>
              <w:rFonts w:hint="default" w:ascii="Times New Roman" w:hAnsi="Times New Roman" w:eastAsia="宋体" w:cs="Times New Roman"/>
              <w:szCs w:val="30"/>
              <w:lang w:val="en-US" w:eastAsia="zh-CN"/>
            </w:rPr>
            <w:t xml:space="preserve">  </w:t>
          </w:r>
          <w:r>
            <w:rPr>
              <w:rFonts w:hint="default" w:ascii="Times New Roman" w:hAnsi="Times New Roman" w:eastAsia="宋体" w:cs="Times New Roman"/>
              <w:szCs w:val="30"/>
              <w:lang w:eastAsia="zh-CN"/>
            </w:rPr>
            <w:t>社会公益</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_Toc28197 </w:instrText>
          </w:r>
          <w:r>
            <w:rPr>
              <w:rFonts w:hint="default" w:ascii="Times New Roman" w:hAnsi="Times New Roman" w:eastAsia="宋体" w:cs="Times New Roman"/>
            </w:rPr>
            <w:fldChar w:fldCharType="separate"/>
          </w:r>
          <w:r>
            <w:rPr>
              <w:rFonts w:hint="default" w:ascii="Times New Roman" w:hAnsi="Times New Roman" w:eastAsia="宋体" w:cs="Times New Roman"/>
            </w:rPr>
            <w:t>25</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_Toc27506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一、合法经营，依法纳税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_Toc27506 </w:instrText>
          </w:r>
          <w:r>
            <w:rPr>
              <w:rFonts w:hint="default" w:ascii="Times New Roman" w:hAnsi="Times New Roman" w:eastAsia="宋体" w:cs="Times New Roman"/>
            </w:rPr>
            <w:fldChar w:fldCharType="separate"/>
          </w:r>
          <w:r>
            <w:rPr>
              <w:rFonts w:hint="default" w:ascii="Times New Roman" w:hAnsi="Times New Roman" w:eastAsia="宋体" w:cs="Times New Roman"/>
            </w:rPr>
            <w:t>25</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pStyle w:val="17"/>
            <w:tabs>
              <w:tab w:val="right" w:leader="dot" w:pos="8306"/>
            </w:tabs>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color w:val="auto"/>
              <w:szCs w:val="30"/>
            </w:rPr>
            <w:fldChar w:fldCharType="begin"/>
          </w:r>
          <w:r>
            <w:rPr>
              <w:rFonts w:hint="default" w:ascii="Times New Roman" w:hAnsi="Times New Roman" w:eastAsia="宋体" w:cs="Times New Roman"/>
              <w:szCs w:val="30"/>
            </w:rPr>
            <w:instrText xml:space="preserve"> HYPERLINK \l _Toc29745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二、履行社会责任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_Toc29745 </w:instrText>
          </w:r>
          <w:r>
            <w:rPr>
              <w:rFonts w:hint="default" w:ascii="Times New Roman" w:hAnsi="Times New Roman" w:eastAsia="宋体" w:cs="Times New Roman"/>
            </w:rPr>
            <w:fldChar w:fldCharType="separate"/>
          </w:r>
          <w:r>
            <w:rPr>
              <w:rFonts w:hint="default" w:ascii="Times New Roman" w:hAnsi="Times New Roman" w:eastAsia="宋体" w:cs="Times New Roman"/>
            </w:rPr>
            <w:t>27</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30"/>
            </w:rPr>
            <w:fldChar w:fldCharType="end"/>
          </w:r>
        </w:p>
        <w:p>
          <w:pPr>
            <w:ind w:firstLine="640"/>
            <w:jc w:val="center"/>
            <w:rPr>
              <w:color w:val="auto"/>
              <w:sz w:val="30"/>
              <w:szCs w:val="30"/>
            </w:rPr>
          </w:pPr>
          <w:r>
            <w:rPr>
              <w:color w:val="auto"/>
              <w:szCs w:val="30"/>
            </w:rPr>
            <w:fldChar w:fldCharType="end"/>
          </w:r>
        </w:p>
      </w:sdtContent>
    </w:sdt>
    <w:p>
      <w:pPr>
        <w:adjustRightInd/>
        <w:snapToGrid/>
        <w:spacing w:after="200" w:line="220" w:lineRule="atLeast"/>
        <w:ind w:firstLine="0" w:firstLineChars="0"/>
        <w:jc w:val="left"/>
        <w:rPr>
          <w:rFonts w:ascii="Times New Roman" w:hAnsi="Times New Roman" w:eastAsia="宋体" w:cstheme="minorBidi"/>
          <w:color w:val="auto"/>
          <w:sz w:val="24"/>
          <w:szCs w:val="22"/>
          <w:lang w:val="en-US" w:eastAsia="zh-CN" w:bidi="ar-SA"/>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pgBorders>
            <w:top w:val="none" w:sz="0" w:space="0"/>
            <w:left w:val="none" w:sz="0" w:space="0"/>
            <w:bottom w:val="none" w:sz="0" w:space="0"/>
            <w:right w:val="none" w:sz="0" w:space="0"/>
          </w:pgBorders>
          <w:pgNumType w:start="1"/>
          <w:cols w:space="708" w:num="1"/>
          <w:docGrid w:type="lines" w:linePitch="360" w:charSpace="0"/>
        </w:sectPr>
      </w:pPr>
      <w:r>
        <w:rPr>
          <w:color w:val="auto"/>
        </w:rPr>
        <w:br w:type="page"/>
      </w:r>
    </w:p>
    <w:p>
      <w:pPr>
        <w:pStyle w:val="4"/>
        <w:numPr>
          <w:ilvl w:val="0"/>
          <w:numId w:val="0"/>
        </w:numPr>
        <w:ind w:leftChars="0"/>
        <w:jc w:val="center"/>
        <w:rPr>
          <w:color w:val="auto"/>
          <w:sz w:val="30"/>
          <w:szCs w:val="30"/>
        </w:rPr>
      </w:pPr>
      <w:bookmarkStart w:id="0" w:name="_Toc2007"/>
      <w:bookmarkStart w:id="1" w:name="_Toc524013529"/>
      <w:r>
        <w:rPr>
          <w:rFonts w:hint="eastAsia"/>
          <w:color w:val="auto"/>
          <w:sz w:val="30"/>
          <w:szCs w:val="30"/>
          <w:lang w:eastAsia="zh-CN"/>
        </w:rPr>
        <w:t>第一章</w:t>
      </w:r>
      <w:r>
        <w:rPr>
          <w:rFonts w:hint="eastAsia"/>
          <w:color w:val="auto"/>
          <w:sz w:val="30"/>
          <w:szCs w:val="30"/>
          <w:lang w:val="en-US" w:eastAsia="zh-CN"/>
        </w:rPr>
        <w:t xml:space="preserve">  </w:t>
      </w:r>
      <w:r>
        <w:rPr>
          <w:rFonts w:hint="eastAsia"/>
          <w:color w:val="auto"/>
          <w:sz w:val="30"/>
          <w:szCs w:val="30"/>
        </w:rPr>
        <w:t>关于正源</w:t>
      </w:r>
      <w:bookmarkEnd w:id="0"/>
      <w:bookmarkEnd w:id="1"/>
    </w:p>
    <w:p>
      <w:pPr>
        <w:pStyle w:val="5"/>
        <w:keepNext/>
        <w:keepLines/>
        <w:pageBreakBefore w:val="0"/>
        <w:widowControl/>
        <w:kinsoku/>
        <w:wordWrap/>
        <w:overflowPunct/>
        <w:topLinePunct w:val="0"/>
        <w:autoSpaceDE/>
        <w:autoSpaceDN/>
        <w:bidi w:val="0"/>
        <w:adjustRightInd w:val="0"/>
        <w:snapToGrid w:val="0"/>
        <w:spacing w:after="0" w:line="360" w:lineRule="auto"/>
        <w:textAlignment w:val="auto"/>
        <w:outlineLvl w:val="1"/>
        <w:rPr>
          <w:color w:val="auto"/>
        </w:rPr>
      </w:pPr>
      <w:bookmarkStart w:id="2" w:name="_Toc3973"/>
      <w:bookmarkStart w:id="3" w:name="_Toc524013530"/>
      <w:r>
        <w:rPr>
          <w:rFonts w:hint="eastAsia"/>
          <w:color w:val="auto"/>
        </w:rPr>
        <w:t>一</w:t>
      </w:r>
      <w:r>
        <w:rPr>
          <w:rFonts w:hint="eastAsia"/>
          <w:color w:val="auto"/>
          <w:lang w:eastAsia="zh-CN"/>
        </w:rPr>
        <w:t>、</w:t>
      </w:r>
      <w:r>
        <w:rPr>
          <w:rFonts w:hint="eastAsia"/>
          <w:color w:val="auto"/>
        </w:rPr>
        <w:t>公司概况</w:t>
      </w:r>
      <w:bookmarkEnd w:id="2"/>
      <w:bookmarkEnd w:id="3"/>
    </w:p>
    <w:p>
      <w:pPr>
        <w:pStyle w:val="5"/>
        <w:keepNext/>
        <w:keepLines/>
        <w:pageBreakBefore w:val="0"/>
        <w:widowControl/>
        <w:kinsoku/>
        <w:wordWrap/>
        <w:overflowPunct/>
        <w:topLinePunct w:val="0"/>
        <w:autoSpaceDE/>
        <w:autoSpaceDN/>
        <w:bidi w:val="0"/>
        <w:adjustRightInd/>
        <w:snapToGrid/>
        <w:spacing w:before="260" w:after="0" w:line="360" w:lineRule="auto"/>
        <w:textAlignment w:val="auto"/>
        <w:outlineLvl w:val="1"/>
        <w:rPr>
          <w:rFonts w:hint="eastAsia"/>
          <w:color w:val="auto"/>
          <w:lang w:eastAsia="zh-CN"/>
        </w:rPr>
      </w:pPr>
      <w:bookmarkStart w:id="4" w:name="_Toc1006"/>
      <w:bookmarkStart w:id="5" w:name="_Toc2964"/>
      <w:r>
        <w:rPr>
          <w:rFonts w:hint="eastAsia"/>
          <w:color w:val="auto"/>
          <w:lang w:eastAsia="zh-CN"/>
        </w:rPr>
        <w:t>（一）公司简介</w:t>
      </w:r>
      <w:bookmarkEnd w:id="4"/>
      <w:bookmarkEnd w:id="5"/>
    </w:p>
    <w:p>
      <w:pPr>
        <w:keepNext w:val="0"/>
        <w:keepLines w:val="0"/>
        <w:pageBreakBefore w:val="0"/>
        <w:widowControl/>
        <w:kinsoku/>
        <w:wordWrap/>
        <w:overflowPunct/>
        <w:topLinePunct w:val="0"/>
        <w:autoSpaceDE/>
        <w:autoSpaceDN/>
        <w:bidi w:val="0"/>
        <w:adjustRightInd/>
        <w:snapToGrid/>
        <w:spacing w:line="360" w:lineRule="auto"/>
        <w:ind w:firstLine="482"/>
        <w:textAlignment w:val="auto"/>
        <w:outlineLvl w:val="9"/>
        <w:rPr>
          <w:color w:val="auto"/>
          <w:sz w:val="24"/>
          <w:szCs w:val="24"/>
        </w:rPr>
      </w:pPr>
      <w:r>
        <w:rPr>
          <w:b/>
          <w:color w:val="auto"/>
          <w:sz w:val="24"/>
          <w:szCs w:val="24"/>
        </w:rPr>
        <w:t>舟山市正源标准件有限公司</w:t>
      </w:r>
      <w:r>
        <w:rPr>
          <w:color w:val="auto"/>
          <w:sz w:val="24"/>
          <w:szCs w:val="24"/>
        </w:rPr>
        <w:t>（以下简称“</w:t>
      </w:r>
      <w:r>
        <w:rPr>
          <w:b/>
          <w:color w:val="auto"/>
          <w:sz w:val="24"/>
          <w:szCs w:val="24"/>
        </w:rPr>
        <w:t>正源公司</w:t>
      </w:r>
      <w:r>
        <w:rPr>
          <w:bCs/>
          <w:color w:val="auto"/>
          <w:sz w:val="24"/>
          <w:szCs w:val="24"/>
        </w:rPr>
        <w:t>”</w:t>
      </w:r>
      <w:r>
        <w:rPr>
          <w:b/>
          <w:color w:val="auto"/>
          <w:sz w:val="24"/>
          <w:szCs w:val="24"/>
        </w:rPr>
        <w:t>)</w:t>
      </w:r>
      <w:r>
        <w:rPr>
          <w:color w:val="auto"/>
          <w:sz w:val="24"/>
          <w:szCs w:val="24"/>
        </w:rPr>
        <w:t>以优越的标准件科技，成就今日，开创未来。公司专业生产各类标准件，主导产品有</w:t>
      </w:r>
      <w:r>
        <w:rPr>
          <w:rFonts w:ascii="Times New Roman" w:hAnsi="Times New Roman"/>
          <w:color w:val="auto"/>
          <w:sz w:val="24"/>
          <w:szCs w:val="24"/>
        </w:rPr>
        <w:t>1</w:t>
      </w:r>
      <w:r>
        <w:rPr>
          <w:rFonts w:ascii="Times New Roman" w:hAnsi="宋体"/>
          <w:color w:val="auto"/>
          <w:sz w:val="24"/>
          <w:szCs w:val="24"/>
        </w:rPr>
        <w:t>、风能产品</w:t>
      </w:r>
      <w:r>
        <w:rPr>
          <w:rFonts w:hint="eastAsia" w:ascii="Times New Roman" w:hAnsi="Times New Roman"/>
          <w:color w:val="auto"/>
          <w:sz w:val="24"/>
          <w:szCs w:val="24"/>
          <w:lang w:eastAsia="zh-CN"/>
        </w:rPr>
        <w:t>；</w:t>
      </w:r>
      <w:r>
        <w:rPr>
          <w:rFonts w:ascii="Times New Roman" w:hAnsi="Times New Roman"/>
          <w:color w:val="auto"/>
          <w:sz w:val="24"/>
          <w:szCs w:val="24"/>
        </w:rPr>
        <w:t>2</w:t>
      </w:r>
      <w:r>
        <w:rPr>
          <w:rFonts w:ascii="Times New Roman" w:hAnsi="宋体"/>
          <w:color w:val="auto"/>
          <w:sz w:val="24"/>
          <w:szCs w:val="24"/>
        </w:rPr>
        <w:t>、核电、</w:t>
      </w:r>
      <w:r>
        <w:rPr>
          <w:rFonts w:hint="eastAsia" w:ascii="Times New Roman" w:hAnsi="宋体"/>
          <w:color w:val="auto"/>
          <w:sz w:val="24"/>
          <w:szCs w:val="24"/>
          <w:lang w:eastAsia="zh-CN"/>
        </w:rPr>
        <w:t>军</w:t>
      </w:r>
      <w:r>
        <w:rPr>
          <w:rFonts w:ascii="Times New Roman" w:hAnsi="宋体"/>
          <w:color w:val="auto"/>
          <w:sz w:val="24"/>
          <w:szCs w:val="24"/>
        </w:rPr>
        <w:t>工产品</w:t>
      </w:r>
      <w:r>
        <w:rPr>
          <w:rFonts w:hint="eastAsia" w:ascii="Times New Roman" w:hAnsi="宋体"/>
          <w:color w:val="auto"/>
          <w:sz w:val="24"/>
          <w:szCs w:val="24"/>
          <w:lang w:eastAsia="zh-CN"/>
        </w:rPr>
        <w:t>；</w:t>
      </w:r>
      <w:r>
        <w:rPr>
          <w:rFonts w:ascii="Times New Roman" w:hAnsi="Times New Roman"/>
          <w:color w:val="auto"/>
          <w:sz w:val="24"/>
          <w:szCs w:val="24"/>
        </w:rPr>
        <w:t>3</w:t>
      </w:r>
      <w:r>
        <w:rPr>
          <w:rFonts w:ascii="Times New Roman" w:hAnsi="宋体"/>
          <w:color w:val="auto"/>
          <w:sz w:val="24"/>
          <w:szCs w:val="24"/>
        </w:rPr>
        <w:t>、石化石油电力产品</w:t>
      </w:r>
      <w:r>
        <w:rPr>
          <w:rFonts w:hint="eastAsia" w:ascii="Times New Roman" w:hAnsi="宋体"/>
          <w:color w:val="auto"/>
          <w:sz w:val="24"/>
          <w:szCs w:val="24"/>
          <w:lang w:eastAsia="zh-CN"/>
        </w:rPr>
        <w:t>；</w:t>
      </w:r>
      <w:r>
        <w:rPr>
          <w:rFonts w:ascii="Times New Roman" w:hAnsi="Times New Roman"/>
          <w:color w:val="auto"/>
          <w:sz w:val="24"/>
          <w:szCs w:val="24"/>
        </w:rPr>
        <w:t>4</w:t>
      </w:r>
      <w:r>
        <w:rPr>
          <w:rFonts w:ascii="Times New Roman" w:hAnsi="宋体"/>
          <w:color w:val="auto"/>
          <w:sz w:val="24"/>
          <w:szCs w:val="24"/>
        </w:rPr>
        <w:t>、高铁、桥梁、轨道交通产品</w:t>
      </w:r>
      <w:r>
        <w:rPr>
          <w:rFonts w:hint="eastAsia" w:ascii="Times New Roman" w:hAnsi="宋体"/>
          <w:color w:val="auto"/>
          <w:sz w:val="24"/>
          <w:szCs w:val="24"/>
          <w:lang w:eastAsia="zh-CN"/>
        </w:rPr>
        <w:t>；</w:t>
      </w:r>
      <w:r>
        <w:rPr>
          <w:rFonts w:ascii="Times New Roman" w:hAnsi="Times New Roman"/>
          <w:color w:val="auto"/>
          <w:sz w:val="24"/>
          <w:szCs w:val="24"/>
        </w:rPr>
        <w:t>5</w:t>
      </w:r>
      <w:r>
        <w:rPr>
          <w:rFonts w:ascii="Times New Roman" w:hAnsi="宋体"/>
          <w:color w:val="auto"/>
          <w:sz w:val="24"/>
          <w:szCs w:val="24"/>
        </w:rPr>
        <w:t>、船舶产品</w:t>
      </w:r>
      <w:r>
        <w:rPr>
          <w:rFonts w:hint="eastAsia" w:ascii="Times New Roman" w:hAnsi="宋体"/>
          <w:color w:val="auto"/>
          <w:sz w:val="24"/>
          <w:szCs w:val="24"/>
          <w:lang w:eastAsia="zh-CN"/>
        </w:rPr>
        <w:t>；</w:t>
      </w:r>
      <w:r>
        <w:rPr>
          <w:rFonts w:ascii="Times New Roman" w:hAnsi="Times New Roman"/>
          <w:color w:val="auto"/>
          <w:sz w:val="24"/>
          <w:szCs w:val="24"/>
        </w:rPr>
        <w:t>6</w:t>
      </w:r>
      <w:r>
        <w:rPr>
          <w:rFonts w:ascii="Times New Roman" w:hAnsi="宋体"/>
          <w:color w:val="auto"/>
          <w:sz w:val="24"/>
          <w:szCs w:val="24"/>
        </w:rPr>
        <w:t>、航空、汽轮机</w:t>
      </w:r>
      <w:r>
        <w:rPr>
          <w:rFonts w:hint="eastAsia" w:ascii="Times New Roman" w:hAnsi="宋体"/>
          <w:color w:val="auto"/>
          <w:sz w:val="24"/>
          <w:szCs w:val="24"/>
          <w:lang w:eastAsia="zh-CN"/>
        </w:rPr>
        <w:t>、汽车</w:t>
      </w:r>
      <w:r>
        <w:rPr>
          <w:rFonts w:ascii="Times New Roman" w:hAnsi="宋体"/>
          <w:color w:val="auto"/>
          <w:sz w:val="24"/>
          <w:szCs w:val="24"/>
        </w:rPr>
        <w:t>产品</w:t>
      </w:r>
      <w:r>
        <w:rPr>
          <w:rFonts w:hint="eastAsia" w:ascii="Times New Roman" w:hAnsi="宋体"/>
          <w:color w:val="auto"/>
          <w:sz w:val="24"/>
          <w:szCs w:val="24"/>
          <w:lang w:eastAsia="zh-CN"/>
        </w:rPr>
        <w:t>；</w:t>
      </w:r>
      <w:r>
        <w:rPr>
          <w:rFonts w:ascii="Times New Roman" w:hAnsi="Times New Roman"/>
          <w:color w:val="auto"/>
          <w:sz w:val="24"/>
          <w:szCs w:val="24"/>
        </w:rPr>
        <w:t>7</w:t>
      </w:r>
      <w:r>
        <w:rPr>
          <w:rFonts w:ascii="Times New Roman" w:hAnsi="宋体"/>
          <w:color w:val="auto"/>
          <w:sz w:val="24"/>
          <w:szCs w:val="24"/>
        </w:rPr>
        <w:t>、钢结构系列产品等</w:t>
      </w:r>
      <w:r>
        <w:rPr>
          <w:color w:val="auto"/>
          <w:sz w:val="24"/>
          <w:szCs w:val="24"/>
        </w:rPr>
        <w:t>。以专业严谨的态度研发创造实力，打造核心竞争力</w:t>
      </w:r>
      <w:r>
        <w:rPr>
          <w:rFonts w:hint="eastAsia"/>
          <w:color w:val="auto"/>
          <w:sz w:val="24"/>
          <w:szCs w:val="24"/>
          <w:lang w:eastAsia="zh-CN"/>
        </w:rPr>
        <w:t>，</w:t>
      </w:r>
      <w:r>
        <w:rPr>
          <w:color w:val="auto"/>
          <w:sz w:val="24"/>
          <w:szCs w:val="24"/>
        </w:rPr>
        <w:t>按高水准现代化管理要求进行企业再造</w:t>
      </w:r>
      <w:r>
        <w:rPr>
          <w:rFonts w:hint="eastAsia"/>
          <w:color w:val="auto"/>
          <w:sz w:val="24"/>
          <w:szCs w:val="24"/>
          <w:lang w:eastAsia="zh-CN"/>
        </w:rPr>
        <w:t>，</w:t>
      </w:r>
      <w:r>
        <w:rPr>
          <w:color w:val="auto"/>
          <w:sz w:val="24"/>
          <w:szCs w:val="24"/>
        </w:rPr>
        <w:t>以满足专业流程与严格的品质管控，达到立基国内着眼国际目标。公司</w:t>
      </w:r>
      <w:r>
        <w:rPr>
          <w:rFonts w:hint="eastAsia"/>
          <w:color w:val="auto"/>
          <w:sz w:val="24"/>
          <w:szCs w:val="24"/>
          <w:lang w:eastAsia="zh-CN"/>
        </w:rPr>
        <w:t>是</w:t>
      </w:r>
      <w:r>
        <w:rPr>
          <w:rFonts w:ascii="Times New Roman" w:hAnsi="宋体"/>
          <w:color w:val="auto"/>
          <w:sz w:val="24"/>
          <w:szCs w:val="24"/>
        </w:rPr>
        <w:t>全国风力机械标准化技术委员会委员、全国紧固件标准化技术委员会委员、全国管路附件标准化技术委员会委员、全国工商联五金机电商会紧固件专业委员会常务委员、中国机械通用零部件工业协会理事、中国农业机械工业协会风力机械分会理事、中国热处理行业协会理事、舟山市热处理学会</w:t>
      </w:r>
      <w:r>
        <w:rPr>
          <w:rFonts w:hint="eastAsia" w:hAnsi="宋体"/>
          <w:color w:val="auto"/>
          <w:sz w:val="24"/>
          <w:szCs w:val="24"/>
          <w:lang w:eastAsia="zh-CN"/>
        </w:rPr>
        <w:t>副</w:t>
      </w:r>
      <w:r>
        <w:rPr>
          <w:rFonts w:ascii="Times New Roman" w:hAnsi="宋体"/>
          <w:color w:val="auto"/>
          <w:sz w:val="24"/>
          <w:szCs w:val="24"/>
        </w:rPr>
        <w:t>会长单位、中国钢结构协会团体会员、世界风能协会会员、中国核能行业协会会员单位、中国核能行业协会中小企业专业委员会</w:t>
      </w:r>
      <w:r>
        <w:rPr>
          <w:rFonts w:hint="eastAsia" w:ascii="Times New Roman" w:hAnsi="宋体"/>
          <w:color w:val="auto"/>
          <w:sz w:val="24"/>
          <w:szCs w:val="24"/>
          <w:lang w:eastAsia="zh-CN"/>
        </w:rPr>
        <w:t>、</w:t>
      </w:r>
      <w:r>
        <w:rPr>
          <w:rFonts w:ascii="Times New Roman" w:hAnsi="宋体"/>
          <w:color w:val="auto"/>
          <w:sz w:val="24"/>
          <w:szCs w:val="24"/>
        </w:rPr>
        <w:t>浙江省标准件标准化技术委员会委员、浙江省紧固件行业协会副会长单位</w:t>
      </w:r>
      <w:r>
        <w:rPr>
          <w:color w:val="auto"/>
          <w:sz w:val="24"/>
          <w:szCs w:val="24"/>
        </w:rPr>
        <w:t>，并先后获得“诚信企业”、“企业文化先进企业”、“重才爱才先进单位”、舟山市首家省级“绿色企业”等荣誉，被授予舟山市名牌产品、</w:t>
      </w:r>
      <w:r>
        <w:rPr>
          <w:rFonts w:hint="eastAsia"/>
          <w:color w:val="auto"/>
          <w:sz w:val="24"/>
          <w:szCs w:val="24"/>
          <w:lang w:eastAsia="zh-CN"/>
        </w:rPr>
        <w:t>浙江名牌产品</w:t>
      </w:r>
      <w:r>
        <w:rPr>
          <w:color w:val="auto"/>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outlineLvl w:val="9"/>
        <w:rPr>
          <w:color w:val="auto"/>
          <w:sz w:val="24"/>
          <w:szCs w:val="24"/>
        </w:rPr>
      </w:pPr>
      <w:r>
        <w:rPr>
          <w:color w:val="auto"/>
          <w:sz w:val="24"/>
          <w:szCs w:val="24"/>
        </w:rPr>
        <w:t>公司从事标准件制造40余年，专业生产各类冷、热镦六角螺母、螺栓以及不锈钢螺母螺栓、各种非标异形件和锁紧螺母。公司生产设施齐全、技术力量雄厚、检测设备完善、产品质量过硬，企业的生产经营环境、作业条件、经营规模和经济效益，在国内外的同行中都处于领先地位。尤其是在研发和制造风能紧固件方面，公司开发了风能——叶片螺栓、塔筒螺栓、整机螺栓等高强度连接副系列产品并拥有独立的知识产权。目前公司专业生产</w:t>
      </w:r>
      <w:r>
        <w:rPr>
          <w:b/>
          <w:bCs/>
          <w:color w:val="auto"/>
          <w:sz w:val="24"/>
          <w:szCs w:val="24"/>
        </w:rPr>
        <w:t>风力发电系列紧固件</w:t>
      </w:r>
      <w:r>
        <w:rPr>
          <w:color w:val="auto"/>
          <w:sz w:val="24"/>
          <w:szCs w:val="24"/>
        </w:rPr>
        <w:t>已经</w:t>
      </w:r>
      <w:r>
        <w:rPr>
          <w:rFonts w:hint="eastAsia"/>
          <w:color w:val="auto"/>
          <w:sz w:val="24"/>
          <w:szCs w:val="24"/>
          <w:lang w:val="en-US" w:eastAsia="zh-CN"/>
        </w:rPr>
        <w:t>17</w:t>
      </w:r>
      <w:r>
        <w:rPr>
          <w:color w:val="auto"/>
          <w:sz w:val="24"/>
          <w:szCs w:val="24"/>
        </w:rPr>
        <w:t>年，产品远销欧美、新加坡、日本、加拿大等发达国家。</w:t>
      </w:r>
      <w:r>
        <w:rPr>
          <w:rFonts w:hint="eastAsia"/>
          <w:color w:val="auto"/>
          <w:sz w:val="24"/>
          <w:szCs w:val="24"/>
          <w:lang w:eastAsia="zh-CN"/>
        </w:rPr>
        <w:t>公司</w:t>
      </w:r>
      <w:r>
        <w:rPr>
          <w:color w:val="auto"/>
          <w:sz w:val="24"/>
          <w:szCs w:val="24"/>
        </w:rPr>
        <w:t>现有固定资产</w:t>
      </w:r>
      <w:r>
        <w:rPr>
          <w:rFonts w:hint="eastAsia"/>
          <w:color w:val="auto"/>
          <w:sz w:val="24"/>
          <w:szCs w:val="24"/>
          <w:lang w:val="en-US" w:eastAsia="zh-CN"/>
        </w:rPr>
        <w:t>1.1亿</w:t>
      </w:r>
      <w:r>
        <w:rPr>
          <w:color w:val="auto"/>
          <w:sz w:val="24"/>
          <w:szCs w:val="24"/>
        </w:rPr>
        <w:t>元，</w:t>
      </w:r>
      <w:bookmarkStart w:id="37" w:name="_GoBack"/>
      <w:bookmarkEnd w:id="37"/>
      <w:r>
        <w:rPr>
          <w:color w:val="auto"/>
          <w:sz w:val="24"/>
          <w:szCs w:val="24"/>
        </w:rPr>
        <w:t>企业已于200</w:t>
      </w:r>
      <w:r>
        <w:rPr>
          <w:rFonts w:hint="eastAsia"/>
          <w:color w:val="auto"/>
          <w:sz w:val="24"/>
          <w:szCs w:val="24"/>
          <w:lang w:val="en-US" w:eastAsia="zh-CN"/>
        </w:rPr>
        <w:t>5</w:t>
      </w:r>
      <w:r>
        <w:rPr>
          <w:color w:val="auto"/>
          <w:sz w:val="24"/>
          <w:szCs w:val="24"/>
        </w:rPr>
        <w:t>年通过ISO9001质量管理体系认证，2012年取得风力发电机组部件认证证书，2016年通过API 20E认证</w:t>
      </w:r>
      <w:r>
        <w:rPr>
          <w:rFonts w:hint="eastAsia"/>
          <w:color w:val="auto"/>
          <w:sz w:val="24"/>
          <w:szCs w:val="24"/>
          <w:lang w:val="en-US" w:eastAsia="zh-CN"/>
        </w:rPr>
        <w:t>，2017年通过ISO14001\OHSAS18001环境健康安全体系认证</w:t>
      </w:r>
      <w:r>
        <w:rPr>
          <w:color w:val="auto"/>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outlineLvl w:val="9"/>
        <w:rPr>
          <w:rFonts w:hint="eastAsia"/>
          <w:color w:val="auto"/>
          <w:sz w:val="24"/>
          <w:szCs w:val="24"/>
        </w:rPr>
      </w:pPr>
      <w:r>
        <w:rPr>
          <w:rFonts w:hint="eastAsia"/>
          <w:color w:val="auto"/>
          <w:sz w:val="24"/>
          <w:szCs w:val="24"/>
        </w:rPr>
        <w:t>公司以专业严谨的态度研发创造实力，打造核心竞争力，按高水准现代化管理要求进行企业再造，以满足专业流程与严格的品质管控。公司先后成为全国</w:t>
      </w:r>
      <w:r>
        <w:rPr>
          <w:rFonts w:hint="eastAsia"/>
          <w:color w:val="auto"/>
          <w:sz w:val="24"/>
          <w:szCs w:val="24"/>
          <w:lang w:eastAsia="zh-CN"/>
        </w:rPr>
        <w:t>风力机械</w:t>
      </w:r>
      <w:r>
        <w:rPr>
          <w:rFonts w:hint="eastAsia"/>
          <w:color w:val="auto"/>
          <w:sz w:val="24"/>
          <w:szCs w:val="24"/>
        </w:rPr>
        <w:t>标准化技术委员会委员</w:t>
      </w:r>
      <w:r>
        <w:rPr>
          <w:rFonts w:hint="eastAsia"/>
          <w:color w:val="auto"/>
          <w:sz w:val="24"/>
          <w:szCs w:val="24"/>
          <w:lang w:eastAsia="zh-CN"/>
        </w:rPr>
        <w:t>、</w:t>
      </w:r>
      <w:r>
        <w:rPr>
          <w:rFonts w:hint="eastAsia"/>
          <w:color w:val="auto"/>
          <w:sz w:val="24"/>
          <w:szCs w:val="24"/>
        </w:rPr>
        <w:t>全国紧固件标准化技术委员会委员、全国管路附件标准化技术委员会委员、中国农业机械工业协会风力机械分会</w:t>
      </w:r>
      <w:r>
        <w:rPr>
          <w:rFonts w:hint="eastAsia"/>
          <w:color w:val="auto"/>
          <w:sz w:val="24"/>
          <w:szCs w:val="24"/>
          <w:lang w:eastAsia="zh-CN"/>
        </w:rPr>
        <w:t>理事</w:t>
      </w:r>
      <w:r>
        <w:rPr>
          <w:rFonts w:hint="eastAsia"/>
          <w:color w:val="auto"/>
          <w:sz w:val="24"/>
          <w:szCs w:val="24"/>
        </w:rPr>
        <w:t>、中国机械通用零部件工业协会理事</w:t>
      </w:r>
      <w:r>
        <w:rPr>
          <w:rFonts w:hint="eastAsia"/>
          <w:color w:val="auto"/>
          <w:sz w:val="24"/>
          <w:szCs w:val="24"/>
          <w:lang w:eastAsia="zh-CN"/>
        </w:rPr>
        <w:t>、</w:t>
      </w:r>
      <w:r>
        <w:rPr>
          <w:rFonts w:hint="eastAsia"/>
          <w:color w:val="auto"/>
          <w:sz w:val="24"/>
          <w:szCs w:val="24"/>
        </w:rPr>
        <w:t>浙江省标准件标准化技术委员会委员</w:t>
      </w:r>
      <w:r>
        <w:rPr>
          <w:rFonts w:hint="eastAsia"/>
          <w:color w:val="auto"/>
          <w:sz w:val="24"/>
          <w:szCs w:val="24"/>
          <w:lang w:eastAsia="zh-CN"/>
        </w:rPr>
        <w:t>等</w:t>
      </w:r>
      <w:r>
        <w:rPr>
          <w:rFonts w:hint="eastAsia"/>
          <w:color w:val="auto"/>
          <w:sz w:val="24"/>
          <w:szCs w:val="24"/>
        </w:rPr>
        <w:t>，并获得“诚信企业”、“企业文化先进企业”、“重才爱才先进单位”、“全国职工教育培训示范点”、舟山市首家省级“绿色企业”</w:t>
      </w:r>
      <w:r>
        <w:rPr>
          <w:rFonts w:hint="eastAsia"/>
          <w:color w:val="auto"/>
          <w:sz w:val="24"/>
          <w:szCs w:val="24"/>
          <w:lang w:eastAsia="zh-CN"/>
        </w:rPr>
        <w:t>、中共现场教育基地、海洋大学实习生就业基地、舟山市文明厂区</w:t>
      </w:r>
      <w:r>
        <w:rPr>
          <w:rFonts w:hint="eastAsia"/>
          <w:color w:val="auto"/>
          <w:sz w:val="24"/>
          <w:szCs w:val="24"/>
        </w:rPr>
        <w:t>等</w:t>
      </w:r>
      <w:r>
        <w:rPr>
          <w:rFonts w:hint="eastAsia"/>
          <w:color w:val="auto"/>
          <w:sz w:val="24"/>
          <w:szCs w:val="24"/>
          <w:lang w:eastAsia="zh-CN"/>
        </w:rPr>
        <w:t>称号</w:t>
      </w:r>
      <w:r>
        <w:rPr>
          <w:rFonts w:hint="eastAsia"/>
          <w:color w:val="auto"/>
          <w:sz w:val="24"/>
          <w:szCs w:val="24"/>
        </w:rPr>
        <w:t>，先后被授予</w:t>
      </w:r>
      <w:r>
        <w:rPr>
          <w:rFonts w:hint="eastAsia"/>
          <w:color w:val="auto"/>
          <w:sz w:val="24"/>
          <w:szCs w:val="24"/>
          <w:lang w:eastAsia="zh-CN"/>
        </w:rPr>
        <w:t>浙江省名牌产品</w:t>
      </w:r>
      <w:r>
        <w:rPr>
          <w:rFonts w:hint="eastAsia"/>
          <w:color w:val="auto"/>
          <w:sz w:val="24"/>
          <w:szCs w:val="24"/>
        </w:rPr>
        <w:t>等荣誉。</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outlineLvl w:val="9"/>
        <w:rPr>
          <w:rFonts w:hint="eastAsia"/>
          <w:color w:val="auto"/>
          <w:sz w:val="24"/>
          <w:szCs w:val="24"/>
        </w:rPr>
      </w:pPr>
      <w:r>
        <w:rPr>
          <w:rFonts w:hint="eastAsia"/>
          <w:color w:val="auto"/>
          <w:sz w:val="24"/>
          <w:szCs w:val="24"/>
        </w:rPr>
        <w:t>公司坚持以</w:t>
      </w:r>
      <w:r>
        <w:rPr>
          <w:rFonts w:hint="eastAsia"/>
          <w:color w:val="auto"/>
          <w:sz w:val="24"/>
          <w:szCs w:val="24"/>
          <w:lang w:eastAsia="zh-CN"/>
        </w:rPr>
        <w:t>奋斗拼搏、赢在未来</w:t>
      </w:r>
      <w:r>
        <w:rPr>
          <w:rFonts w:hint="eastAsia"/>
          <w:color w:val="auto"/>
          <w:sz w:val="24"/>
          <w:szCs w:val="24"/>
        </w:rPr>
        <w:t>为企业精神，</w:t>
      </w:r>
      <w:r>
        <w:rPr>
          <w:rFonts w:hint="eastAsia"/>
          <w:color w:val="auto"/>
          <w:sz w:val="24"/>
          <w:szCs w:val="24"/>
          <w:lang w:eastAsia="zh-CN"/>
        </w:rPr>
        <w:t>以质量过硬、技术精湛、管理精益、效益优先为企业经营理念，</w:t>
      </w:r>
      <w:r>
        <w:rPr>
          <w:rFonts w:hint="eastAsia"/>
          <w:color w:val="auto"/>
          <w:sz w:val="24"/>
          <w:szCs w:val="24"/>
        </w:rPr>
        <w:t>科技领先、不断超越，以人为本、追求卓越，诚信务实、开拓进取，以优越的标准件科技，成就今日，开创未来。公司在以董事长林仲岳为首的高层领导带领下，创建了独具特色的文化体系，明确了长远发展目标</w:t>
      </w:r>
      <w:r>
        <w:rPr>
          <w:rFonts w:hint="eastAsia"/>
          <w:color w:val="auto"/>
          <w:sz w:val="24"/>
          <w:szCs w:val="24"/>
          <w:lang w:eastAsia="zh-CN"/>
        </w:rPr>
        <w:t>，</w:t>
      </w:r>
      <w:r>
        <w:rPr>
          <w:rFonts w:hint="eastAsia"/>
          <w:color w:val="auto"/>
          <w:sz w:val="24"/>
          <w:szCs w:val="24"/>
        </w:rPr>
        <w:t>以“</w:t>
      </w:r>
      <w:r>
        <w:rPr>
          <w:rFonts w:hint="eastAsia"/>
          <w:color w:val="auto"/>
          <w:sz w:val="24"/>
          <w:szCs w:val="24"/>
          <w:lang w:eastAsia="zh-CN"/>
        </w:rPr>
        <w:t>责任、诚信、创新</w:t>
      </w:r>
      <w:r>
        <w:rPr>
          <w:rFonts w:hint="eastAsia"/>
          <w:color w:val="auto"/>
          <w:sz w:val="24"/>
          <w:szCs w:val="24"/>
        </w:rPr>
        <w:t>”为核心</w:t>
      </w:r>
      <w:r>
        <w:rPr>
          <w:rFonts w:hint="eastAsia"/>
          <w:color w:val="auto"/>
          <w:sz w:val="24"/>
          <w:szCs w:val="24"/>
          <w:lang w:eastAsia="zh-CN"/>
        </w:rPr>
        <w:t>价值观</w:t>
      </w:r>
      <w:r>
        <w:rPr>
          <w:rFonts w:hint="eastAsia"/>
          <w:color w:val="auto"/>
          <w:sz w:val="24"/>
          <w:szCs w:val="24"/>
        </w:rPr>
        <w:t>，以发展民族紧固件产业为己任为使命，营造良好的经营环境，积极履行社会责任，为实现持续共赢而不断努力。</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outlineLvl w:val="9"/>
        <w:rPr>
          <w:rFonts w:hint="eastAsia"/>
          <w:color w:val="auto"/>
          <w:sz w:val="24"/>
          <w:szCs w:val="24"/>
        </w:rPr>
      </w:pPr>
      <w:r>
        <w:rPr>
          <w:rFonts w:hint="eastAsia"/>
          <w:color w:val="auto"/>
          <w:sz w:val="24"/>
          <w:szCs w:val="24"/>
          <w:lang w:val="en-US" w:eastAsia="zh-CN"/>
        </w:rPr>
        <w:t>2019</w:t>
      </w:r>
      <w:r>
        <w:rPr>
          <w:rFonts w:hint="eastAsia"/>
          <w:color w:val="auto"/>
          <w:sz w:val="24"/>
          <w:szCs w:val="24"/>
        </w:rPr>
        <w:t>年，公司一方面积极开展生产经营工作，努力开拓市场，优化业务模式，依法保护职工的合法权益，着力提升职工幸福指数，构筑企业与职工之间的和谐氛围；另一方面，树立和维护诚信、守法、公正的良好形象，依法纳税，主动承担对自然环境、对社会和经济发展的义务，积极维护民族团结和社会稳定，支持和赞助社会公益事业，关注社会弱势群体的生存环境，扶贫济困，救助灾害。</w:t>
      </w:r>
    </w:p>
    <w:p>
      <w:pPr>
        <w:pStyle w:val="5"/>
        <w:keepNext/>
        <w:keepLines/>
        <w:pageBreakBefore w:val="0"/>
        <w:widowControl/>
        <w:kinsoku/>
        <w:wordWrap/>
        <w:overflowPunct/>
        <w:topLinePunct w:val="0"/>
        <w:autoSpaceDE/>
        <w:autoSpaceDN/>
        <w:bidi w:val="0"/>
        <w:adjustRightInd/>
        <w:snapToGrid/>
        <w:spacing w:before="260" w:after="0" w:line="360" w:lineRule="auto"/>
        <w:textAlignment w:val="auto"/>
        <w:outlineLvl w:val="1"/>
        <w:rPr>
          <w:rFonts w:hint="eastAsia"/>
          <w:color w:val="auto"/>
          <w:lang w:eastAsia="zh-CN"/>
        </w:rPr>
      </w:pPr>
      <w:bookmarkStart w:id="6" w:name="_Toc6903"/>
      <w:bookmarkStart w:id="7" w:name="_Toc1870"/>
      <w:bookmarkStart w:id="8" w:name="_Toc524013531"/>
      <w:r>
        <w:rPr>
          <w:rFonts w:hint="eastAsia"/>
          <w:color w:val="auto"/>
        </w:rPr>
        <w:t>（二）</w:t>
      </w:r>
      <w:r>
        <w:rPr>
          <w:rFonts w:hint="eastAsia"/>
          <w:color w:val="auto"/>
          <w:lang w:eastAsia="zh-CN"/>
        </w:rPr>
        <w:t>组织架构</w:t>
      </w:r>
      <w:bookmarkEnd w:id="6"/>
      <w:bookmarkEnd w:id="7"/>
    </w:p>
    <w:p>
      <w:pPr>
        <w:pStyle w:val="5"/>
        <w:spacing w:line="360" w:lineRule="auto"/>
        <w:outlineLvl w:val="9"/>
        <w:rPr>
          <w:color w:val="auto"/>
        </w:rPr>
      </w:pPr>
      <w:bookmarkStart w:id="9" w:name="_Toc13555"/>
      <w:bookmarkStart w:id="10" w:name="_Toc2268"/>
      <w:r>
        <w:rPr>
          <w:color w:val="auto"/>
        </w:rPr>
        <w:drawing>
          <wp:inline distT="0" distB="0" distL="114300" distR="114300">
            <wp:extent cx="5356225" cy="3389630"/>
            <wp:effectExtent l="0" t="0" r="15875" b="1270"/>
            <wp:docPr id="2" name="图片 2" descr="新组织机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组织机构图"/>
                    <pic:cNvPicPr>
                      <a:picLocks noChangeAspect="1"/>
                    </pic:cNvPicPr>
                  </pic:nvPicPr>
                  <pic:blipFill>
                    <a:blip r:embed="rId11"/>
                    <a:srcRect l="2713" t="16624" r="5244" b="5626"/>
                    <a:stretch>
                      <a:fillRect/>
                    </a:stretch>
                  </pic:blipFill>
                  <pic:spPr>
                    <a:xfrm>
                      <a:off x="0" y="0"/>
                      <a:ext cx="5356225" cy="3389630"/>
                    </a:xfrm>
                    <a:prstGeom prst="rect">
                      <a:avLst/>
                    </a:prstGeom>
                    <a:noFill/>
                    <a:ln w="9525">
                      <a:noFill/>
                    </a:ln>
                  </pic:spPr>
                </pic:pic>
              </a:graphicData>
            </a:graphic>
          </wp:inline>
        </w:drawing>
      </w:r>
      <w:bookmarkEnd w:id="9"/>
      <w:bookmarkEnd w:id="10"/>
    </w:p>
    <w:p>
      <w:pPr>
        <w:ind w:left="0" w:leftChars="0" w:firstLine="0" w:firstLineChars="0"/>
        <w:jc w:val="center"/>
        <w:rPr>
          <w:rFonts w:hint="eastAsia" w:eastAsia="宋体"/>
          <w:color w:val="auto"/>
          <w:sz w:val="24"/>
          <w:szCs w:val="24"/>
          <w:lang w:val="en-US" w:eastAsia="zh-CN"/>
        </w:rPr>
      </w:pPr>
      <w:r>
        <w:rPr>
          <w:rFonts w:hint="eastAsia"/>
          <w:color w:val="auto"/>
          <w:sz w:val="24"/>
          <w:szCs w:val="24"/>
          <w:lang w:eastAsia="zh-CN"/>
        </w:rPr>
        <w:t>图</w:t>
      </w:r>
      <w:r>
        <w:rPr>
          <w:rFonts w:hint="eastAsia"/>
          <w:color w:val="auto"/>
          <w:sz w:val="24"/>
          <w:szCs w:val="24"/>
          <w:lang w:val="en-US" w:eastAsia="zh-CN"/>
        </w:rPr>
        <w:t>1   组织机构图</w:t>
      </w:r>
    </w:p>
    <w:p>
      <w:pPr>
        <w:pStyle w:val="5"/>
        <w:keepNext/>
        <w:keepLines/>
        <w:pageBreakBefore w:val="0"/>
        <w:widowControl/>
        <w:kinsoku/>
        <w:wordWrap/>
        <w:overflowPunct/>
        <w:topLinePunct w:val="0"/>
        <w:autoSpaceDE/>
        <w:autoSpaceDN/>
        <w:bidi w:val="0"/>
        <w:adjustRightInd/>
        <w:snapToGrid/>
        <w:spacing w:before="260" w:after="0" w:line="360" w:lineRule="auto"/>
        <w:textAlignment w:val="auto"/>
        <w:outlineLvl w:val="1"/>
        <w:rPr>
          <w:rFonts w:hint="eastAsia"/>
          <w:color w:val="auto"/>
          <w:lang w:eastAsia="zh-CN"/>
        </w:rPr>
      </w:pPr>
      <w:bookmarkStart w:id="11" w:name="_Toc1963"/>
      <w:bookmarkStart w:id="12" w:name="_Toc6316"/>
      <w:r>
        <w:rPr>
          <w:rFonts w:hint="eastAsia"/>
          <w:color w:val="auto"/>
          <w:lang w:eastAsia="zh-CN"/>
        </w:rPr>
        <w:t>（三）发展战略</w:t>
      </w:r>
      <w:bookmarkEnd w:id="11"/>
      <w:bookmarkEnd w:id="12"/>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正源公司</w:t>
      </w:r>
      <w:r>
        <w:rPr>
          <w:rFonts w:hint="eastAsia" w:asciiTheme="minorEastAsia" w:hAnsiTheme="minorEastAsia" w:eastAsiaTheme="minorEastAsia" w:cstheme="minorEastAsia"/>
          <w:color w:val="auto"/>
          <w:sz w:val="24"/>
          <w:szCs w:val="24"/>
        </w:rPr>
        <w:t>根据总战略目标制定了总战略规划，并依据总战略分解的四个子战略目标制定年度经营目标，并落实到各职能部门。</w:t>
      </w:r>
    </w:p>
    <w:p>
      <w:pPr>
        <w:pStyle w:val="8"/>
        <w:pageBreakBefore w:val="0"/>
        <w:widowControl/>
        <w:kinsoku/>
        <w:wordWrap/>
        <w:overflowPunct/>
        <w:topLinePunct w:val="0"/>
        <w:autoSpaceDE/>
        <w:autoSpaceDN/>
        <w:bidi w:val="0"/>
        <w:adjustRightInd/>
        <w:snapToGrid/>
        <w:spacing w:before="0" w:beforeLines="0" w:after="0" w:afterLines="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1、产品开发规划</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以制造高品质标准件为立足点，开发高强度紧固件和异形件，瞄准高、精、尖这一目标，通过科企联合，借脑生财，一步一个台阶，加速科技成果产业化的进程，做到人无我有、人有我优，努力</w:t>
      </w:r>
      <w:r>
        <w:rPr>
          <w:rFonts w:hint="eastAsia" w:asciiTheme="minorEastAsia" w:hAnsiTheme="minorEastAsia" w:eastAsiaTheme="minorEastAsia" w:cstheme="minorEastAsia"/>
          <w:color w:val="auto"/>
          <w:sz w:val="24"/>
          <w:szCs w:val="24"/>
          <w:lang w:eastAsia="zh-CN"/>
        </w:rPr>
        <w:t>开发</w:t>
      </w:r>
      <w:r>
        <w:rPr>
          <w:rFonts w:hint="eastAsia" w:asciiTheme="minorEastAsia" w:hAnsiTheme="minorEastAsia" w:eastAsiaTheme="minorEastAsia" w:cstheme="minorEastAsia"/>
          <w:color w:val="auto"/>
          <w:sz w:val="24"/>
          <w:szCs w:val="24"/>
        </w:rPr>
        <w:t>高附加值优势产品，赢得市场竞争的主动权。</w:t>
      </w:r>
    </w:p>
    <w:p>
      <w:pPr>
        <w:pStyle w:val="8"/>
        <w:pageBreakBefore w:val="0"/>
        <w:widowControl/>
        <w:kinsoku/>
        <w:wordWrap/>
        <w:overflowPunct/>
        <w:topLinePunct w:val="0"/>
        <w:autoSpaceDE/>
        <w:autoSpaceDN/>
        <w:bidi w:val="0"/>
        <w:adjustRightInd/>
        <w:snapToGrid/>
        <w:spacing w:before="0" w:beforeLines="0" w:after="0" w:afterLines="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2、技术改造规划</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面对国内</w:t>
      </w:r>
      <w:r>
        <w:rPr>
          <w:rFonts w:hint="eastAsia" w:asciiTheme="minorEastAsia" w:hAnsiTheme="minorEastAsia" w:eastAsiaTheme="minorEastAsia" w:cstheme="minorEastAsia"/>
          <w:color w:val="auto"/>
          <w:sz w:val="24"/>
          <w:szCs w:val="24"/>
          <w:lang w:eastAsia="zh-CN"/>
        </w:rPr>
        <w:t>外瞬息万变的市场</w:t>
      </w:r>
      <w:r>
        <w:rPr>
          <w:rFonts w:hint="eastAsia" w:asciiTheme="minorEastAsia" w:hAnsiTheme="minorEastAsia" w:eastAsiaTheme="minorEastAsia" w:cstheme="minorEastAsia"/>
          <w:color w:val="auto"/>
          <w:sz w:val="24"/>
          <w:szCs w:val="24"/>
        </w:rPr>
        <w:t>竞争</w:t>
      </w:r>
      <w:r>
        <w:rPr>
          <w:rFonts w:hint="eastAsia" w:asciiTheme="minorEastAsia" w:hAnsiTheme="minorEastAsia" w:eastAsiaTheme="minorEastAsia" w:cstheme="minorEastAsia"/>
          <w:color w:val="auto"/>
          <w:sz w:val="24"/>
          <w:szCs w:val="24"/>
          <w:lang w:eastAsia="zh-CN"/>
        </w:rPr>
        <w:t>压力</w:t>
      </w:r>
      <w:r>
        <w:rPr>
          <w:rFonts w:hint="eastAsia" w:asciiTheme="minorEastAsia" w:hAnsiTheme="minorEastAsia" w:eastAsiaTheme="minorEastAsia" w:cstheme="minorEastAsia"/>
          <w:color w:val="auto"/>
          <w:sz w:val="24"/>
          <w:szCs w:val="24"/>
        </w:rPr>
        <w:t>，公司加快技术改造步伐，努力提高自动化生产能力，不断提高以产品、技术、服务、自动化生产为核心的企业竞争力。</w:t>
      </w:r>
    </w:p>
    <w:p>
      <w:pPr>
        <w:pStyle w:val="8"/>
        <w:pageBreakBefore w:val="0"/>
        <w:widowControl/>
        <w:kinsoku/>
        <w:wordWrap/>
        <w:overflowPunct/>
        <w:topLinePunct w:val="0"/>
        <w:autoSpaceDE/>
        <w:autoSpaceDN/>
        <w:bidi w:val="0"/>
        <w:adjustRightInd/>
        <w:snapToGrid/>
        <w:spacing w:before="0" w:beforeLines="0" w:after="0" w:afterLines="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3、技术创新规划</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加快研发中心建设，使其成为国内一流的科研实体。</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为进一步提升企业整体研究开发和技术创新能力，加强人才引进和培育，公司积极引进相关人才，与专业协会、研究所、学校开展产品设计开发、材料检验、工艺处理等多方位的合作。组织开展国内学术交流，使公司成为国内标准件研究的重点科研实体。 </w:t>
      </w:r>
    </w:p>
    <w:p>
      <w:pPr>
        <w:pStyle w:val="8"/>
        <w:pageBreakBefore w:val="0"/>
        <w:widowControl/>
        <w:kinsoku/>
        <w:wordWrap/>
        <w:overflowPunct/>
        <w:topLinePunct w:val="0"/>
        <w:autoSpaceDE/>
        <w:autoSpaceDN/>
        <w:bidi w:val="0"/>
        <w:adjustRightInd/>
        <w:snapToGrid/>
        <w:spacing w:before="0" w:beforeLines="0" w:after="0" w:afterLines="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4、人力资源规划</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为实现公司的总体战略目标，设定本部门的人力资源战略规划，办公室通过“稳定、优化、储备”三个方面进行人力资源的规划。</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稳定人员方面，正源公司注重员工的内在建设，通过组织形式多样的培训学习，提升员工集体荣誉感。正源人以“尊师爱岗，尊孝爱幼，坚强自我，信心自我，做事必须先做人，有品德才有发展”为准则，要求自我，提升自我。</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个好的团队重在优化，公司采取优胜劣汰的制度，在工作中表现好的员工通过职务晋升，表彰嘉奖等方式对员工鼓励。对于在工作中表现不佳的员工则采取教育再教育的方式，如实在不能被感化的员工则采取淘汰机制。</w:t>
      </w:r>
    </w:p>
    <w:p>
      <w:pPr>
        <w:pageBreakBefore w:val="0"/>
        <w:widowControl/>
        <w:kinsoku/>
        <w:wordWrap/>
        <w:overflowPunct/>
        <w:topLinePunct w:val="0"/>
        <w:autoSpaceDE/>
        <w:autoSpaceDN/>
        <w:bidi w:val="0"/>
        <w:adjustRightInd/>
        <w:snapToGrid/>
        <w:spacing w:after="0"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正源公司在人才储备方面，从长期目标主要考虑，扩大人员编制，储备高知识人才为长远目标。短期目标对办公室设定招聘目标达到90%，并择优录取。最终实现正源人力资源目标：培养一批、储备一批、淘汰一批，加强竞争机制。</w:t>
      </w:r>
    </w:p>
    <w:p>
      <w:pPr>
        <w:pStyle w:val="4"/>
        <w:numPr>
          <w:ilvl w:val="0"/>
          <w:numId w:val="1"/>
        </w:numPr>
        <w:ind w:leftChars="0"/>
        <w:outlineLvl w:val="1"/>
        <w:rPr>
          <w:rFonts w:hint="eastAsia"/>
          <w:color w:val="auto"/>
          <w:lang w:eastAsia="zh-CN"/>
        </w:rPr>
      </w:pPr>
      <w:bookmarkStart w:id="13" w:name="_Toc5058"/>
      <w:r>
        <w:rPr>
          <w:rFonts w:hint="eastAsia"/>
          <w:color w:val="auto"/>
          <w:lang w:eastAsia="zh-CN"/>
        </w:rPr>
        <w:t>企业治理</w:t>
      </w:r>
      <w:bookmarkEnd w:id="13"/>
    </w:p>
    <w:p>
      <w:pPr>
        <w:keepNext w:val="0"/>
        <w:keepLines w:val="0"/>
        <w:pageBreakBefore w:val="0"/>
        <w:widowControl/>
        <w:kinsoku/>
        <w:wordWrap/>
        <w:overflowPunct/>
        <w:topLinePunct w:val="0"/>
        <w:autoSpaceDE/>
        <w:autoSpaceDN/>
        <w:bidi w:val="0"/>
        <w:adjustRightInd w:val="0"/>
        <w:snapToGrid/>
        <w:spacing w:line="360" w:lineRule="auto"/>
        <w:ind w:firstLine="480"/>
        <w:textAlignment w:val="auto"/>
        <w:outlineLvl w:val="9"/>
        <w:rPr>
          <w:color w:val="auto"/>
        </w:rPr>
      </w:pPr>
      <w:r>
        <w:rPr>
          <w:rFonts w:hint="eastAsia"/>
          <w:color w:val="auto"/>
          <w:lang w:eastAsia="zh-CN"/>
        </w:rPr>
        <w:t>自</w:t>
      </w:r>
      <w:r>
        <w:rPr>
          <w:rFonts w:hint="eastAsia"/>
          <w:color w:val="auto"/>
        </w:rPr>
        <w:t>公司</w:t>
      </w:r>
      <w:r>
        <w:rPr>
          <w:rFonts w:hint="eastAsia"/>
          <w:color w:val="auto"/>
          <w:lang w:eastAsia="zh-CN"/>
        </w:rPr>
        <w:t>转制成为舟山市正源标准件有限公司以来，公司一直严格遵守相关国家和地区的法律法规，努力完善企业运营管理体系，</w:t>
      </w:r>
      <w:r>
        <w:rPr>
          <w:rFonts w:hint="eastAsia"/>
          <w:color w:val="auto"/>
        </w:rPr>
        <w:t>按照《公司法》和《公司章程》</w:t>
      </w:r>
      <w:r>
        <w:rPr>
          <w:rFonts w:hint="eastAsia"/>
          <w:color w:val="auto"/>
          <w:lang w:eastAsia="zh-CN"/>
        </w:rPr>
        <w:t>等治理文件和</w:t>
      </w:r>
      <w:r>
        <w:rPr>
          <w:rFonts w:hint="eastAsia"/>
          <w:color w:val="auto"/>
        </w:rPr>
        <w:t>规定，结合业务发展的需要，规范</w:t>
      </w:r>
      <w:r>
        <w:rPr>
          <w:rFonts w:hint="eastAsia"/>
          <w:color w:val="auto"/>
          <w:lang w:eastAsia="zh-CN"/>
        </w:rPr>
        <w:t>并明确了股东、董事会的职责和义务，建立健全了公司</w:t>
      </w:r>
      <w:r>
        <w:rPr>
          <w:rFonts w:hint="eastAsia"/>
          <w:color w:val="auto"/>
        </w:rPr>
        <w:t>的内部</w:t>
      </w:r>
      <w:r>
        <w:rPr>
          <w:rFonts w:hint="eastAsia"/>
          <w:color w:val="auto"/>
          <w:lang w:eastAsia="zh-CN"/>
        </w:rPr>
        <w:t>控制体系</w:t>
      </w:r>
      <w:r>
        <w:rPr>
          <w:rFonts w:hint="eastAsia"/>
          <w:color w:val="auto"/>
        </w:rPr>
        <w:t>。公司有总经理1名，监事1名，执行董事1名。</w:t>
      </w:r>
    </w:p>
    <w:p>
      <w:pPr>
        <w:keepNext w:val="0"/>
        <w:keepLines w:val="0"/>
        <w:pageBreakBefore w:val="0"/>
        <w:widowControl/>
        <w:kinsoku/>
        <w:wordWrap/>
        <w:overflowPunct/>
        <w:topLinePunct w:val="0"/>
        <w:autoSpaceDE/>
        <w:autoSpaceDN/>
        <w:bidi w:val="0"/>
        <w:adjustRightInd w:val="0"/>
        <w:snapToGrid/>
        <w:spacing w:line="360" w:lineRule="auto"/>
        <w:ind w:firstLine="480"/>
        <w:textAlignment w:val="auto"/>
        <w:outlineLvl w:val="9"/>
        <w:rPr>
          <w:color w:val="auto"/>
        </w:rPr>
      </w:pPr>
      <w:r>
        <w:rPr>
          <w:rFonts w:hint="eastAsia"/>
          <w:color w:val="auto"/>
        </w:rPr>
        <w:t>公司现有员工3</w:t>
      </w:r>
      <w:r>
        <w:rPr>
          <w:color w:val="auto"/>
        </w:rPr>
        <w:t>00</w:t>
      </w:r>
      <w:r>
        <w:rPr>
          <w:rFonts w:hint="eastAsia"/>
          <w:color w:val="auto"/>
          <w:lang w:eastAsia="zh-CN"/>
        </w:rPr>
        <w:t>余</w:t>
      </w:r>
      <w:r>
        <w:rPr>
          <w:rFonts w:hint="eastAsia"/>
          <w:color w:val="auto"/>
        </w:rPr>
        <w:t>人，公司以“以岗定薪、按劳取酬”为原则，实行岗位工资和绩效奖励相结合的薪酬分配方法，建立了考核与工资、奖金、调薪、晋升及培训等机制，为骨干员工和优秀人才提供中长期的激励政策，充分调动了员工的积极性和创造性，不断提高员工的满意度和忠诚度。</w:t>
      </w:r>
    </w:p>
    <w:p>
      <w:pPr>
        <w:pStyle w:val="4"/>
        <w:numPr>
          <w:ilvl w:val="0"/>
          <w:numId w:val="1"/>
        </w:numPr>
        <w:ind w:leftChars="0"/>
        <w:outlineLvl w:val="1"/>
        <w:rPr>
          <w:rFonts w:hint="eastAsia"/>
          <w:color w:val="auto"/>
          <w:lang w:eastAsia="zh-CN"/>
        </w:rPr>
      </w:pPr>
      <w:bookmarkStart w:id="14" w:name="_Toc11042"/>
      <w:r>
        <w:rPr>
          <w:rFonts w:hint="eastAsia"/>
          <w:color w:val="auto"/>
          <w:lang w:eastAsia="zh-CN"/>
        </w:rPr>
        <w:t>企业文化</w:t>
      </w:r>
      <w:bookmarkEnd w:id="14"/>
    </w:p>
    <w:bookmarkEnd w:id="8"/>
    <w:p>
      <w:pPr>
        <w:keepNext w:val="0"/>
        <w:keepLines w:val="0"/>
        <w:pageBreakBefore w:val="0"/>
        <w:widowControl/>
        <w:numPr>
          <w:ilvl w:val="0"/>
          <w:numId w:val="2"/>
        </w:numPr>
        <w:tabs>
          <w:tab w:val="left" w:pos="0"/>
        </w:tabs>
        <w:kinsoku/>
        <w:wordWrap/>
        <w:overflowPunct/>
        <w:topLinePunct w:val="0"/>
        <w:autoSpaceDE/>
        <w:autoSpaceDN/>
        <w:bidi w:val="0"/>
        <w:adjustRightInd/>
        <w:snapToGrid/>
        <w:spacing w:line="360" w:lineRule="auto"/>
        <w:ind w:left="0" w:firstLine="482" w:firstLineChars="200"/>
        <w:textAlignment w:val="auto"/>
        <w:outlineLvl w:val="9"/>
        <w:rPr>
          <w:b/>
          <w:color w:val="auto"/>
        </w:rPr>
      </w:pPr>
      <w:bookmarkStart w:id="15" w:name="_Toc524013532"/>
      <w:r>
        <w:rPr>
          <w:b/>
          <w:color w:val="auto"/>
        </w:rPr>
        <w:t>愿景：</w:t>
      </w:r>
      <w:r>
        <w:rPr>
          <w:rFonts w:hint="eastAsia"/>
          <w:b/>
          <w:color w:val="auto"/>
          <w:lang w:eastAsia="zh-CN"/>
        </w:rPr>
        <w:t>致力于成为世界一流标准件供应商，打造“百年企业”！</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outlineLvl w:val="9"/>
        <w:rPr>
          <w:rFonts w:hint="default" w:ascii="Times New Roman" w:hAnsi="Times New Roman" w:eastAsia="宋体" w:cs="Times New Roman"/>
          <w:i w:val="0"/>
          <w:caps w:val="0"/>
          <w:color w:val="auto"/>
          <w:spacing w:val="0"/>
          <w:sz w:val="24"/>
          <w:szCs w:val="22"/>
          <w:highlight w:val="none"/>
          <w:u w:val="none"/>
          <w:lang w:eastAsia="zh-CN"/>
        </w:rPr>
      </w:pPr>
      <w:r>
        <w:rPr>
          <w:color w:val="auto"/>
          <w:szCs w:val="22"/>
          <w:highlight w:val="none"/>
          <w:u w:val="none"/>
        </w:rPr>
        <w:t>含义：公司未来发展将</w:t>
      </w:r>
      <w:r>
        <w:rPr>
          <w:rFonts w:hint="default"/>
          <w:color w:val="auto"/>
          <w:szCs w:val="22"/>
          <w:highlight w:val="none"/>
          <w:u w:val="none"/>
          <w:lang w:eastAsia="zh-CN"/>
        </w:rPr>
        <w:t>始终</w:t>
      </w:r>
      <w:r>
        <w:rPr>
          <w:color w:val="auto"/>
          <w:szCs w:val="22"/>
          <w:highlight w:val="none"/>
          <w:u w:val="none"/>
        </w:rPr>
        <w:t>立足于标准件产品的</w:t>
      </w:r>
      <w:r>
        <w:rPr>
          <w:rFonts w:hint="default"/>
          <w:color w:val="auto"/>
          <w:szCs w:val="22"/>
          <w:highlight w:val="none"/>
          <w:u w:val="none"/>
          <w:lang w:eastAsia="zh-CN"/>
        </w:rPr>
        <w:t>专业</w:t>
      </w:r>
      <w:r>
        <w:rPr>
          <w:color w:val="auto"/>
          <w:szCs w:val="22"/>
          <w:highlight w:val="none"/>
          <w:u w:val="none"/>
        </w:rPr>
        <w:t>技术研发与制造，</w:t>
      </w:r>
      <w:r>
        <w:rPr>
          <w:rFonts w:hint="default" w:eastAsia="宋体"/>
          <w:color w:val="auto"/>
          <w:szCs w:val="22"/>
          <w:highlight w:val="none"/>
          <w:u w:val="none"/>
          <w:lang w:eastAsia="zh-CN"/>
        </w:rPr>
        <w:t>发扬</w:t>
      </w:r>
      <w:r>
        <w:rPr>
          <w:rFonts w:hint="default" w:ascii="Times New Roman" w:hAnsi="Times New Roman" w:cs="Times New Roman"/>
          <w:b w:val="0"/>
          <w:i w:val="0"/>
          <w:caps w:val="0"/>
          <w:color w:val="auto"/>
          <w:spacing w:val="0"/>
          <w:sz w:val="24"/>
          <w:szCs w:val="22"/>
          <w:highlight w:val="none"/>
          <w:u w:val="none"/>
          <w:shd w:val="clear" w:color="auto" w:fill="auto"/>
        </w:rPr>
        <w:t>工匠精神</w:t>
      </w:r>
      <w:r>
        <w:rPr>
          <w:rFonts w:hint="default" w:ascii="Times New Roman" w:hAnsi="Times New Roman" w:eastAsia="宋体" w:cs="Times New Roman"/>
          <w:b w:val="0"/>
          <w:i w:val="0"/>
          <w:caps w:val="0"/>
          <w:color w:val="auto"/>
          <w:spacing w:val="0"/>
          <w:sz w:val="24"/>
          <w:szCs w:val="22"/>
          <w:highlight w:val="none"/>
          <w:u w:val="none"/>
          <w:shd w:val="clear" w:color="auto" w:fill="auto"/>
          <w:lang w:eastAsia="zh-CN"/>
        </w:rPr>
        <w:t>，</w:t>
      </w:r>
      <w:r>
        <w:rPr>
          <w:rFonts w:hint="default" w:ascii="Times New Roman" w:hAnsi="Times New Roman" w:cs="Times New Roman"/>
          <w:b w:val="0"/>
          <w:i w:val="0"/>
          <w:caps w:val="0"/>
          <w:color w:val="auto"/>
          <w:spacing w:val="0"/>
          <w:sz w:val="24"/>
          <w:szCs w:val="22"/>
          <w:highlight w:val="none"/>
          <w:u w:val="none"/>
          <w:shd w:val="clear" w:color="auto" w:fill="auto"/>
        </w:rPr>
        <w:t>要</w:t>
      </w:r>
      <w:r>
        <w:rPr>
          <w:rFonts w:hint="default" w:ascii="Times New Roman" w:hAnsi="Times New Roman" w:eastAsia="宋体" w:cs="Times New Roman"/>
          <w:b w:val="0"/>
          <w:i w:val="0"/>
          <w:caps w:val="0"/>
          <w:color w:val="auto"/>
          <w:spacing w:val="0"/>
          <w:sz w:val="24"/>
          <w:szCs w:val="22"/>
          <w:highlight w:val="none"/>
          <w:u w:val="none"/>
          <w:shd w:val="clear" w:color="auto" w:fill="auto"/>
          <w:lang w:eastAsia="zh-CN"/>
        </w:rPr>
        <w:t>把标准件</w:t>
      </w:r>
      <w:r>
        <w:rPr>
          <w:rFonts w:hint="default" w:ascii="Times New Roman" w:hAnsi="Times New Roman" w:cs="Times New Roman"/>
          <w:b w:val="0"/>
          <w:i w:val="0"/>
          <w:caps w:val="0"/>
          <w:color w:val="auto"/>
          <w:spacing w:val="0"/>
          <w:sz w:val="24"/>
          <w:szCs w:val="22"/>
          <w:highlight w:val="none"/>
          <w:u w:val="none"/>
          <w:shd w:val="clear" w:color="auto" w:fill="auto"/>
        </w:rPr>
        <w:t>做“一米宽，一千米深”</w:t>
      </w:r>
      <w:r>
        <w:rPr>
          <w:rFonts w:hint="default" w:cs="Times New Roman"/>
          <w:b w:val="0"/>
          <w:i w:val="0"/>
          <w:caps w:val="0"/>
          <w:color w:val="auto"/>
          <w:spacing w:val="0"/>
          <w:sz w:val="24"/>
          <w:szCs w:val="22"/>
          <w:highlight w:val="none"/>
          <w:u w:val="none"/>
          <w:shd w:val="clear" w:color="auto" w:fill="auto"/>
          <w:lang w:eastAsia="zh-CN"/>
        </w:rPr>
        <w:t>，</w:t>
      </w:r>
      <w:r>
        <w:rPr>
          <w:rFonts w:hint="default" w:ascii="Times New Roman" w:hAnsi="Times New Roman" w:eastAsia="宋体" w:cs="Times New Roman"/>
          <w:i w:val="0"/>
          <w:caps w:val="0"/>
          <w:color w:val="auto"/>
          <w:spacing w:val="0"/>
          <w:sz w:val="24"/>
          <w:szCs w:val="22"/>
          <w:highlight w:val="none"/>
          <w:u w:val="none"/>
          <w:shd w:val="clear" w:color="auto" w:fill="auto"/>
          <w:lang w:eastAsia="zh-CN"/>
        </w:rPr>
        <w:t>避免</w:t>
      </w:r>
      <w:r>
        <w:rPr>
          <w:rFonts w:hint="default" w:ascii="Times New Roman" w:hAnsi="Times New Roman" w:cs="Times New Roman"/>
          <w:i w:val="0"/>
          <w:caps w:val="0"/>
          <w:color w:val="auto"/>
          <w:spacing w:val="0"/>
          <w:sz w:val="24"/>
          <w:szCs w:val="22"/>
          <w:highlight w:val="none"/>
          <w:u w:val="none"/>
          <w:shd w:val="clear" w:color="auto" w:fill="auto"/>
        </w:rPr>
        <w:t>同质化竞争</w:t>
      </w:r>
      <w:r>
        <w:rPr>
          <w:rFonts w:hint="default" w:eastAsia="宋体" w:cs="Times New Roman"/>
          <w:i w:val="0"/>
          <w:caps w:val="0"/>
          <w:color w:val="auto"/>
          <w:spacing w:val="0"/>
          <w:sz w:val="24"/>
          <w:szCs w:val="22"/>
          <w:highlight w:val="none"/>
          <w:u w:val="none"/>
          <w:shd w:val="clear" w:color="auto" w:fill="auto"/>
          <w:lang w:eastAsia="zh-CN"/>
        </w:rPr>
        <w:t>，做到</w:t>
      </w:r>
      <w:r>
        <w:rPr>
          <w:rFonts w:hint="eastAsia" w:eastAsia="宋体" w:cs="Times New Roman"/>
          <w:i w:val="0"/>
          <w:caps w:val="0"/>
          <w:color w:val="auto"/>
          <w:spacing w:val="0"/>
          <w:sz w:val="24"/>
          <w:szCs w:val="22"/>
          <w:highlight w:val="none"/>
          <w:u w:val="none"/>
          <w:shd w:val="clear" w:color="auto" w:fill="auto"/>
          <w:lang w:eastAsia="zh-CN"/>
        </w:rPr>
        <w:t>公司的</w:t>
      </w:r>
      <w:r>
        <w:rPr>
          <w:rFonts w:ascii="Times New Roman" w:hAnsi="Times New Roman" w:eastAsia="宋体" w:cs="Times New Roman"/>
          <w:i w:val="0"/>
          <w:caps w:val="0"/>
          <w:color w:val="auto"/>
          <w:spacing w:val="0"/>
          <w:sz w:val="24"/>
          <w:szCs w:val="22"/>
          <w:highlight w:val="none"/>
          <w:shd w:val="clear" w:color="auto" w:fill="auto"/>
        </w:rPr>
        <w:t>每个进步都可以带动整个行业的进步</w:t>
      </w:r>
      <w:r>
        <w:rPr>
          <w:rFonts w:hint="default" w:ascii="Times New Roman" w:hAnsi="Times New Roman" w:eastAsia="宋体" w:cs="Times New Roman"/>
          <w:i w:val="0"/>
          <w:caps w:val="0"/>
          <w:color w:val="auto"/>
          <w:spacing w:val="0"/>
          <w:sz w:val="24"/>
          <w:szCs w:val="22"/>
          <w:highlight w:val="none"/>
          <w:u w:val="none"/>
          <w:shd w:val="clear" w:color="auto" w:fill="auto"/>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outlineLvl w:val="9"/>
        <w:rPr>
          <w:color w:val="auto"/>
          <w:szCs w:val="22"/>
          <w:highlight w:val="yellow"/>
          <w:u w:val="none"/>
        </w:rPr>
      </w:pPr>
      <w:r>
        <w:rPr>
          <w:color w:val="auto"/>
          <w:szCs w:val="22"/>
          <w:highlight w:val="none"/>
          <w:u w:val="none"/>
        </w:rPr>
        <w:t>建立集直销、代理、网络等多种形式的立体营销体系；同时加强同国内及世界各地客户的交流与合作，以达成国际知名企业的理想。运用科学管理办法，努力将公司打造</w:t>
      </w:r>
      <w:r>
        <w:rPr>
          <w:rFonts w:hint="default"/>
          <w:b w:val="0"/>
          <w:color w:val="auto"/>
          <w:szCs w:val="22"/>
          <w:highlight w:val="none"/>
          <w:u w:val="none"/>
          <w:lang w:eastAsia="zh-CN"/>
        </w:rPr>
        <w:t>成为世界一流标准件供应商，打造百年企业</w:t>
      </w:r>
      <w:r>
        <w:rPr>
          <w:rFonts w:hint="eastAsia"/>
          <w:b w:val="0"/>
          <w:color w:val="auto"/>
          <w:szCs w:val="22"/>
          <w:highlight w:val="none"/>
          <w:u w:val="none"/>
          <w:lang w:eastAsia="zh-CN"/>
        </w:rPr>
        <w:t>。</w:t>
      </w:r>
    </w:p>
    <w:p>
      <w:pPr>
        <w:keepNext w:val="0"/>
        <w:keepLines w:val="0"/>
        <w:pageBreakBefore w:val="0"/>
        <w:widowControl/>
        <w:numPr>
          <w:ilvl w:val="0"/>
          <w:numId w:val="2"/>
        </w:numPr>
        <w:tabs>
          <w:tab w:val="left" w:pos="0"/>
        </w:tabs>
        <w:kinsoku/>
        <w:wordWrap/>
        <w:overflowPunct/>
        <w:topLinePunct w:val="0"/>
        <w:autoSpaceDE/>
        <w:autoSpaceDN/>
        <w:bidi w:val="0"/>
        <w:adjustRightInd/>
        <w:snapToGrid/>
        <w:spacing w:line="360" w:lineRule="auto"/>
        <w:ind w:left="0" w:firstLine="482" w:firstLineChars="200"/>
        <w:textAlignment w:val="auto"/>
        <w:outlineLvl w:val="9"/>
        <w:rPr>
          <w:b/>
          <w:color w:val="auto"/>
          <w:szCs w:val="24"/>
        </w:rPr>
      </w:pPr>
      <w:r>
        <w:rPr>
          <w:b/>
          <w:color w:val="auto"/>
        </w:rPr>
        <w:t>使命：</w:t>
      </w:r>
      <w:r>
        <w:rPr>
          <w:rFonts w:hint="eastAsia"/>
          <w:b/>
          <w:color w:val="auto"/>
          <w:lang w:eastAsia="zh-CN"/>
        </w:rPr>
        <w:t>以发展民族紧固件产业为己任。</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outlineLvl w:val="9"/>
        <w:rPr>
          <w:rFonts w:hint="eastAsia"/>
          <w:color w:val="auto"/>
          <w:szCs w:val="22"/>
          <w:highlight w:val="none"/>
          <w:u w:val="none"/>
          <w:lang w:eastAsia="zh-CN"/>
        </w:rPr>
      </w:pPr>
      <w:r>
        <w:rPr>
          <w:color w:val="auto"/>
          <w:highlight w:val="none"/>
        </w:rPr>
        <w:t>含义：</w:t>
      </w:r>
      <w:r>
        <w:rPr>
          <w:rFonts w:hint="eastAsia"/>
          <w:color w:val="auto"/>
          <w:szCs w:val="22"/>
          <w:highlight w:val="none"/>
          <w:u w:val="none"/>
        </w:rPr>
        <w:t>民族</w:t>
      </w:r>
      <w:r>
        <w:rPr>
          <w:rFonts w:hint="eastAsia"/>
          <w:color w:val="auto"/>
          <w:szCs w:val="22"/>
          <w:highlight w:val="none"/>
          <w:u w:val="none"/>
          <w:lang w:eastAsia="zh-CN"/>
        </w:rPr>
        <w:t>紧固件</w:t>
      </w:r>
      <w:r>
        <w:rPr>
          <w:rFonts w:hint="eastAsia"/>
          <w:color w:val="auto"/>
          <w:szCs w:val="22"/>
          <w:highlight w:val="none"/>
          <w:u w:val="none"/>
        </w:rPr>
        <w:t>产业的主要特点是以利用本国资源(包括人力、人才、土地、资金及自然资源等)为主，并循自主开发的道路发展。发展的主要方向是建立适合国情的</w:t>
      </w:r>
      <w:r>
        <w:rPr>
          <w:rFonts w:hint="eastAsia"/>
          <w:color w:val="auto"/>
          <w:szCs w:val="22"/>
          <w:highlight w:val="none"/>
          <w:u w:val="none"/>
          <w:lang w:eastAsia="zh-CN"/>
        </w:rPr>
        <w:t>紧固件</w:t>
      </w:r>
      <w:r>
        <w:rPr>
          <w:rFonts w:hint="eastAsia"/>
          <w:color w:val="auto"/>
          <w:szCs w:val="22"/>
          <w:highlight w:val="none"/>
          <w:u w:val="none"/>
        </w:rPr>
        <w:t>产业形式，及形成可持续发展的能力</w:t>
      </w:r>
      <w:r>
        <w:rPr>
          <w:rFonts w:hint="eastAsia"/>
          <w:color w:val="auto"/>
          <w:szCs w:val="22"/>
          <w:highlight w:val="none"/>
          <w:u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outlineLvl w:val="9"/>
        <w:rPr>
          <w:color w:val="auto"/>
          <w:highlight w:val="none"/>
        </w:rPr>
      </w:pPr>
      <w:r>
        <w:rPr>
          <w:rFonts w:hint="eastAsia"/>
          <w:color w:val="auto"/>
          <w:szCs w:val="22"/>
          <w:highlight w:val="none"/>
          <w:u w:val="none"/>
        </w:rPr>
        <w:t>外资企业并不能替代民族产业。外资企业只会利用现成的生产因素，最多是略加改造以为己用。例如培训工人及技术人员以符合本身的特殊工作需要，科研人才亦可吸收参与研究工作。但外资不可能在东道国作巨大投资，重复建立在母国经多年形成的科研开发体系。相反，民族产业则必须建立自己的科研体系才可立足。此外，投资科研及培养人才等均是典型的市场失效领域，必须政府大力支持。故政府与民族产业紧密合作可令科研等活动带来的外部经济较大程度的留在国内。若科研力量为外资所用，流出国门的外部经济将较多。</w:t>
      </w:r>
      <w:r>
        <w:rPr>
          <w:rFonts w:hint="eastAsia"/>
          <w:color w:val="auto"/>
          <w:szCs w:val="22"/>
          <w:highlight w:val="none"/>
          <w:u w:val="none"/>
          <w:lang w:eastAsia="zh-CN"/>
        </w:rPr>
        <w:t>因此为了固本强基，正源必须发扬浙江制造大工匠精神，以发展民族紧固件产业为己任，全面提升我国紧固件加工水平，</w:t>
      </w:r>
      <w:r>
        <w:rPr>
          <w:color w:val="auto"/>
          <w:szCs w:val="22"/>
          <w:highlight w:val="none"/>
          <w:u w:val="none"/>
        </w:rPr>
        <w:t>并以致力于发展标准件产业</w:t>
      </w:r>
      <w:r>
        <w:rPr>
          <w:color w:val="auto"/>
          <w:highlight w:val="none"/>
          <w:u w:val="none"/>
        </w:rPr>
        <w:t>为已任</w:t>
      </w:r>
      <w:r>
        <w:rPr>
          <w:color w:val="auto"/>
          <w:highlight w:val="none"/>
        </w:rPr>
        <w:t>，公司将专注于本行业并不断进步、持续发展，提供安全可靠的产品，以便能够更好的服务回馈社会！公司始终以客户为关注焦点，追求顾客满意、实现自身价值！</w:t>
      </w:r>
    </w:p>
    <w:p>
      <w:pPr>
        <w:keepNext w:val="0"/>
        <w:keepLines w:val="0"/>
        <w:pageBreakBefore w:val="0"/>
        <w:widowControl/>
        <w:numPr>
          <w:ilvl w:val="0"/>
          <w:numId w:val="2"/>
        </w:numPr>
        <w:tabs>
          <w:tab w:val="left" w:pos="0"/>
        </w:tabs>
        <w:kinsoku/>
        <w:wordWrap/>
        <w:overflowPunct/>
        <w:topLinePunct w:val="0"/>
        <w:autoSpaceDE/>
        <w:autoSpaceDN/>
        <w:bidi w:val="0"/>
        <w:adjustRightInd/>
        <w:snapToGrid/>
        <w:spacing w:line="360" w:lineRule="auto"/>
        <w:ind w:left="0" w:firstLine="482" w:firstLineChars="200"/>
        <w:textAlignment w:val="auto"/>
        <w:outlineLvl w:val="9"/>
        <w:rPr>
          <w:b/>
          <w:color w:val="auto"/>
          <w:szCs w:val="24"/>
        </w:rPr>
      </w:pPr>
      <w:r>
        <w:rPr>
          <w:b/>
          <w:color w:val="auto"/>
        </w:rPr>
        <w:t>核心价值观：</w:t>
      </w:r>
      <w:r>
        <w:rPr>
          <w:rFonts w:hint="eastAsia"/>
          <w:b/>
          <w:color w:val="auto"/>
          <w:lang w:eastAsia="zh-CN"/>
        </w:rPr>
        <w:t>责任、信任、创新</w:t>
      </w:r>
      <w:r>
        <w:rPr>
          <w:b/>
          <w:color w:val="auto"/>
        </w:rPr>
        <w:t>。</w:t>
      </w:r>
    </w:p>
    <w:p>
      <w:pPr>
        <w:pStyle w:val="27"/>
        <w:keepNext w:val="0"/>
        <w:keepLines w:val="0"/>
        <w:pageBreakBefore w:val="0"/>
        <w:widowControl/>
        <w:kinsoku/>
        <w:wordWrap/>
        <w:overflowPunct/>
        <w:topLinePunct w:val="0"/>
        <w:autoSpaceDE/>
        <w:autoSpaceDN/>
        <w:bidi w:val="0"/>
        <w:adjustRightInd/>
        <w:snapToGrid/>
        <w:spacing w:line="360" w:lineRule="auto"/>
        <w:ind w:left="0" w:firstLine="482" w:firstLineChars="200"/>
        <w:textAlignment w:val="auto"/>
        <w:outlineLvl w:val="9"/>
        <w:rPr>
          <w:b/>
          <w:bCs/>
          <w:color w:val="auto"/>
          <w:szCs w:val="21"/>
        </w:rPr>
      </w:pPr>
      <w:r>
        <w:rPr>
          <w:b/>
          <w:bCs/>
          <w:color w:val="auto"/>
          <w:szCs w:val="21"/>
        </w:rPr>
        <w:t>精品篇：</w:t>
      </w:r>
      <w:r>
        <w:rPr>
          <w:color w:val="auto"/>
          <w:szCs w:val="21"/>
        </w:rPr>
        <w:t>艰苦奋斗，勤俭节约，磨练经验，戒骄戒躁，团结进取，奋斗不止，诚信健康。</w:t>
      </w:r>
    </w:p>
    <w:p>
      <w:pPr>
        <w:pStyle w:val="27"/>
        <w:keepNext w:val="0"/>
        <w:keepLines w:val="0"/>
        <w:pageBreakBefore w:val="0"/>
        <w:widowControl/>
        <w:kinsoku/>
        <w:wordWrap/>
        <w:overflowPunct/>
        <w:topLinePunct w:val="0"/>
        <w:autoSpaceDE/>
        <w:autoSpaceDN/>
        <w:bidi w:val="0"/>
        <w:adjustRightInd/>
        <w:snapToGrid/>
        <w:spacing w:line="360" w:lineRule="auto"/>
        <w:ind w:left="0" w:firstLine="482" w:firstLineChars="200"/>
        <w:textAlignment w:val="auto"/>
        <w:outlineLvl w:val="9"/>
        <w:rPr>
          <w:b/>
          <w:bCs/>
          <w:color w:val="auto"/>
          <w:szCs w:val="21"/>
        </w:rPr>
      </w:pPr>
      <w:r>
        <w:rPr>
          <w:b/>
          <w:bCs/>
          <w:color w:val="auto"/>
          <w:szCs w:val="21"/>
        </w:rPr>
        <w:t>质品篇：</w:t>
      </w:r>
      <w:r>
        <w:rPr>
          <w:color w:val="auto"/>
          <w:szCs w:val="21"/>
        </w:rPr>
        <w:t>创新改革，学习进取，自强不息，奋发图强，科技行路，管理质全，做大必须做强。</w:t>
      </w:r>
    </w:p>
    <w:p>
      <w:pPr>
        <w:pStyle w:val="27"/>
        <w:keepNext w:val="0"/>
        <w:keepLines w:val="0"/>
        <w:pageBreakBefore w:val="0"/>
        <w:widowControl/>
        <w:kinsoku/>
        <w:wordWrap/>
        <w:overflowPunct/>
        <w:topLinePunct w:val="0"/>
        <w:autoSpaceDE/>
        <w:autoSpaceDN/>
        <w:bidi w:val="0"/>
        <w:adjustRightInd/>
        <w:snapToGrid/>
        <w:spacing w:line="360" w:lineRule="auto"/>
        <w:ind w:left="0" w:firstLine="482" w:firstLineChars="200"/>
        <w:textAlignment w:val="auto"/>
        <w:outlineLvl w:val="9"/>
        <w:rPr>
          <w:color w:val="auto"/>
          <w:szCs w:val="21"/>
        </w:rPr>
      </w:pPr>
      <w:r>
        <w:rPr>
          <w:b/>
          <w:bCs/>
          <w:color w:val="auto"/>
          <w:szCs w:val="21"/>
        </w:rPr>
        <w:t>人品篇：</w:t>
      </w:r>
      <w:r>
        <w:rPr>
          <w:color w:val="auto"/>
          <w:szCs w:val="21"/>
        </w:rPr>
        <w:t>尊师爱岗，尊孝爱幼，坚强自我，信心自我，做事必须先做人，有品德才有发展。</w:t>
      </w:r>
    </w:p>
    <w:p>
      <w:pPr>
        <w:pStyle w:val="4"/>
        <w:keepNext/>
        <w:keepLines/>
        <w:pageBreakBefore w:val="0"/>
        <w:widowControl/>
        <w:numPr>
          <w:ilvl w:val="0"/>
          <w:numId w:val="1"/>
        </w:numPr>
        <w:kinsoku/>
        <w:wordWrap/>
        <w:overflowPunct/>
        <w:topLinePunct w:val="0"/>
        <w:autoSpaceDE/>
        <w:autoSpaceDN/>
        <w:bidi w:val="0"/>
        <w:adjustRightInd/>
        <w:snapToGrid/>
        <w:spacing w:before="260" w:after="0" w:line="360" w:lineRule="auto"/>
        <w:ind w:leftChars="0"/>
        <w:textAlignment w:val="auto"/>
        <w:outlineLvl w:val="1"/>
        <w:rPr>
          <w:rFonts w:hint="eastAsia"/>
          <w:color w:val="auto"/>
          <w:lang w:eastAsia="zh-CN"/>
        </w:rPr>
      </w:pPr>
      <w:bookmarkStart w:id="16" w:name="_Toc29320"/>
      <w:r>
        <w:rPr>
          <w:rFonts w:hint="eastAsia"/>
          <w:color w:val="auto"/>
          <w:lang w:val="en-US" w:eastAsia="zh-CN"/>
        </w:rPr>
        <w:t>2019年度所获荣誉</w:t>
      </w:r>
      <w:bookmarkEnd w:id="16"/>
    </w:p>
    <w:p>
      <w:pPr>
        <w:pStyle w:val="2"/>
        <w:ind w:left="0" w:leftChars="0" w:firstLine="0" w:firstLineChars="0"/>
        <w:jc w:val="center"/>
        <w:rPr>
          <w:rFonts w:hint="eastAsia"/>
          <w:color w:val="auto"/>
          <w:lang w:val="en-US" w:eastAsia="zh-CN"/>
        </w:rPr>
      </w:pPr>
      <w:r>
        <w:rPr>
          <w:rFonts w:hint="eastAsia"/>
          <w:color w:val="auto"/>
          <w:lang w:val="en-US" w:eastAsia="zh-CN"/>
        </w:rPr>
        <w:t>表1  2019年度荣誉清单</w:t>
      </w:r>
    </w:p>
    <w:tbl>
      <w:tblPr>
        <w:tblStyle w:val="21"/>
        <w:tblW w:w="8385"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72"/>
        <w:gridCol w:w="2784"/>
        <w:gridCol w:w="3347"/>
        <w:gridCol w:w="138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blHeader/>
          <w:jc w:val="center"/>
        </w:trPr>
        <w:tc>
          <w:tcPr>
            <w:tcW w:w="872" w:type="dxa"/>
            <w:tcBorders>
              <w:tl2br w:val="nil"/>
              <w:tr2bl w:val="nil"/>
            </w:tcBorders>
            <w:shd w:val="clear" w:color="auto" w:fill="B8CCE4" w:themeFill="accent1" w:themeFillTint="66"/>
            <w:vAlign w:val="center"/>
          </w:tcPr>
          <w:p>
            <w:pPr>
              <w:spacing w:line="240" w:lineRule="auto"/>
              <w:ind w:firstLine="0" w:firstLineChars="0"/>
              <w:jc w:val="center"/>
              <w:rPr>
                <w:b/>
                <w:color w:val="auto"/>
                <w:sz w:val="21"/>
                <w:szCs w:val="21"/>
              </w:rPr>
            </w:pPr>
            <w:r>
              <w:rPr>
                <w:rFonts w:hint="eastAsia"/>
                <w:b/>
                <w:color w:val="auto"/>
                <w:sz w:val="21"/>
                <w:szCs w:val="21"/>
              </w:rPr>
              <w:t>序号</w:t>
            </w:r>
          </w:p>
        </w:tc>
        <w:tc>
          <w:tcPr>
            <w:tcW w:w="2784" w:type="dxa"/>
            <w:tcBorders>
              <w:tl2br w:val="nil"/>
              <w:tr2bl w:val="nil"/>
            </w:tcBorders>
            <w:shd w:val="clear" w:color="auto" w:fill="B8CCE4" w:themeFill="accent1" w:themeFillTint="66"/>
            <w:vAlign w:val="center"/>
          </w:tcPr>
          <w:p>
            <w:pPr>
              <w:spacing w:line="240" w:lineRule="auto"/>
              <w:ind w:firstLine="0" w:firstLineChars="0"/>
              <w:jc w:val="center"/>
              <w:rPr>
                <w:b/>
                <w:color w:val="auto"/>
                <w:sz w:val="21"/>
                <w:szCs w:val="21"/>
              </w:rPr>
            </w:pPr>
            <w:r>
              <w:rPr>
                <w:rFonts w:hint="eastAsia"/>
                <w:b/>
                <w:color w:val="auto"/>
                <w:sz w:val="21"/>
                <w:szCs w:val="21"/>
              </w:rPr>
              <w:t>荣誉名称</w:t>
            </w:r>
          </w:p>
        </w:tc>
        <w:tc>
          <w:tcPr>
            <w:tcW w:w="3347" w:type="dxa"/>
            <w:tcBorders>
              <w:tl2br w:val="nil"/>
              <w:tr2bl w:val="nil"/>
            </w:tcBorders>
            <w:shd w:val="clear" w:color="auto" w:fill="B8CCE4" w:themeFill="accent1" w:themeFillTint="66"/>
            <w:vAlign w:val="center"/>
          </w:tcPr>
          <w:p>
            <w:pPr>
              <w:spacing w:line="240" w:lineRule="auto"/>
              <w:ind w:firstLine="0" w:firstLineChars="0"/>
              <w:jc w:val="center"/>
              <w:rPr>
                <w:b/>
                <w:color w:val="auto"/>
                <w:sz w:val="21"/>
                <w:szCs w:val="21"/>
              </w:rPr>
            </w:pPr>
            <w:r>
              <w:rPr>
                <w:rFonts w:hint="eastAsia"/>
                <w:b/>
                <w:color w:val="auto"/>
                <w:sz w:val="21"/>
                <w:szCs w:val="21"/>
              </w:rPr>
              <w:t>颁发单位</w:t>
            </w:r>
          </w:p>
        </w:tc>
        <w:tc>
          <w:tcPr>
            <w:tcW w:w="1382" w:type="dxa"/>
            <w:tcBorders>
              <w:tl2br w:val="nil"/>
              <w:tr2bl w:val="nil"/>
            </w:tcBorders>
            <w:shd w:val="clear" w:color="auto" w:fill="B8CCE4" w:themeFill="accent1" w:themeFillTint="66"/>
            <w:vAlign w:val="center"/>
          </w:tcPr>
          <w:p>
            <w:pPr>
              <w:spacing w:line="240" w:lineRule="auto"/>
              <w:ind w:firstLine="0" w:firstLineChars="0"/>
              <w:jc w:val="center"/>
              <w:rPr>
                <w:b/>
                <w:color w:val="auto"/>
                <w:sz w:val="21"/>
                <w:szCs w:val="21"/>
              </w:rPr>
            </w:pPr>
            <w:r>
              <w:rPr>
                <w:rFonts w:hint="eastAsia"/>
                <w:b/>
                <w:color w:val="auto"/>
                <w:sz w:val="21"/>
                <w:szCs w:val="21"/>
              </w:rPr>
              <w:t>时间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2"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1</w:t>
            </w:r>
          </w:p>
        </w:tc>
        <w:tc>
          <w:tcPr>
            <w:tcW w:w="2784"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学习型企业</w:t>
            </w:r>
          </w:p>
        </w:tc>
        <w:tc>
          <w:tcPr>
            <w:tcW w:w="3347"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舟山市普陀区社区教育学院</w:t>
            </w:r>
          </w:p>
        </w:tc>
        <w:tc>
          <w:tcPr>
            <w:tcW w:w="1382"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2019.2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2"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2</w:t>
            </w:r>
          </w:p>
        </w:tc>
        <w:tc>
          <w:tcPr>
            <w:tcW w:w="2784"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2018年度税收十强工业企业</w:t>
            </w:r>
          </w:p>
        </w:tc>
        <w:tc>
          <w:tcPr>
            <w:tcW w:w="3347"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舟山市普陀区人民政府</w:t>
            </w:r>
          </w:p>
        </w:tc>
        <w:tc>
          <w:tcPr>
            <w:tcW w:w="1382"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2019.4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872"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3</w:t>
            </w:r>
          </w:p>
        </w:tc>
        <w:tc>
          <w:tcPr>
            <w:tcW w:w="2784"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浙江省服务型制造示范企业</w:t>
            </w:r>
          </w:p>
        </w:tc>
        <w:tc>
          <w:tcPr>
            <w:tcW w:w="3347"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浙江省经济和信息化厅</w:t>
            </w:r>
          </w:p>
        </w:tc>
        <w:tc>
          <w:tcPr>
            <w:tcW w:w="1382" w:type="dxa"/>
            <w:tcBorders>
              <w:tl2br w:val="nil"/>
              <w:tr2bl w:val="nil"/>
            </w:tcBorders>
            <w:vAlign w:val="center"/>
          </w:tcPr>
          <w:p>
            <w:pPr>
              <w:pStyle w:val="31"/>
              <w:spacing w:line="240" w:lineRule="auto"/>
              <w:jc w:val="center"/>
              <w:rPr>
                <w:rFonts w:hint="eastAsia"/>
                <w:color w:val="auto"/>
                <w:sz w:val="21"/>
                <w:szCs w:val="21"/>
                <w:lang w:val="en-US" w:eastAsia="zh-CN"/>
              </w:rPr>
            </w:pPr>
            <w:r>
              <w:rPr>
                <w:rFonts w:hint="eastAsia"/>
                <w:color w:val="auto"/>
                <w:sz w:val="21"/>
                <w:szCs w:val="21"/>
                <w:lang w:val="en-US" w:eastAsia="zh-CN"/>
              </w:rPr>
              <w:t>2019.12.5</w:t>
            </w:r>
          </w:p>
        </w:tc>
      </w:tr>
    </w:tbl>
    <w:p>
      <w:pPr>
        <w:pStyle w:val="4"/>
        <w:keepNext/>
        <w:keepLines/>
        <w:pageBreakBefore w:val="0"/>
        <w:widowControl/>
        <w:numPr>
          <w:ilvl w:val="0"/>
          <w:numId w:val="1"/>
        </w:numPr>
        <w:kinsoku/>
        <w:wordWrap/>
        <w:overflowPunct/>
        <w:topLinePunct w:val="0"/>
        <w:autoSpaceDE/>
        <w:autoSpaceDN/>
        <w:bidi w:val="0"/>
        <w:adjustRightInd/>
        <w:snapToGrid/>
        <w:spacing w:before="260" w:after="0" w:line="360" w:lineRule="auto"/>
        <w:ind w:leftChars="0"/>
        <w:textAlignment w:val="auto"/>
        <w:outlineLvl w:val="1"/>
        <w:rPr>
          <w:rFonts w:hint="eastAsia"/>
          <w:color w:val="auto"/>
          <w:lang w:eastAsia="zh-CN"/>
        </w:rPr>
      </w:pPr>
      <w:bookmarkStart w:id="17" w:name="_Toc15732"/>
      <w:r>
        <w:rPr>
          <w:rFonts w:hint="eastAsia"/>
          <w:color w:val="auto"/>
          <w:lang w:eastAsia="zh-CN"/>
        </w:rPr>
        <w:t>社会责任</w:t>
      </w:r>
      <w:bookmarkEnd w:id="17"/>
    </w:p>
    <w:p>
      <w:pPr>
        <w:pStyle w:val="27"/>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outlineLvl w:val="9"/>
        <w:rPr>
          <w:rFonts w:hint="eastAsia"/>
          <w:color w:val="auto"/>
          <w:sz w:val="24"/>
          <w:szCs w:val="24"/>
        </w:rPr>
      </w:pPr>
      <w:r>
        <w:rPr>
          <w:rFonts w:hint="eastAsia"/>
          <w:color w:val="auto"/>
          <w:sz w:val="24"/>
          <w:szCs w:val="24"/>
          <w:lang w:eastAsia="zh-CN"/>
        </w:rPr>
        <w:t>正源</w:t>
      </w:r>
      <w:r>
        <w:rPr>
          <w:rFonts w:hint="eastAsia"/>
          <w:color w:val="auto"/>
          <w:sz w:val="24"/>
          <w:szCs w:val="24"/>
        </w:rPr>
        <w:t>积极探索和实践社会责任管理，把社会责任管理体系融入公司战略、企业文化和日常运营，坚持负责任地对待利益相关方，不断推动企业与社会、环境的和谐发展，致力实现社会价值最大化和可持续发展。</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lang w:eastAsia="zh-CN"/>
        </w:rPr>
        <w:t>正源</w:t>
      </w:r>
      <w:r>
        <w:rPr>
          <w:rFonts w:hint="eastAsia" w:ascii="宋体_x0002_擧─..." w:hAnsi="宋体_x0002_擧─..." w:eastAsia="宋体_x0002_擧─..."/>
          <w:color w:val="auto"/>
          <w:sz w:val="24"/>
          <w:szCs w:val="24"/>
        </w:rPr>
        <w:t>承诺遵守企业社会责任行为守则和当地法律法规</w:t>
      </w:r>
      <w:r>
        <w:rPr>
          <w:rFonts w:hint="eastAsia" w:ascii="宋体_x0002_擧─..." w:hAnsi="宋体_x0002_擧─..." w:eastAsia="宋体_x0002_擧─..."/>
          <w:color w:val="auto"/>
          <w:sz w:val="24"/>
          <w:szCs w:val="24"/>
          <w:lang w:eastAsia="zh-CN"/>
        </w:rPr>
        <w:t>以</w:t>
      </w:r>
      <w:r>
        <w:rPr>
          <w:rFonts w:hint="eastAsia" w:ascii="宋体_x0002_擧─..." w:hAnsi="宋体_x0002_擧─..." w:eastAsia="宋体_x0002_擧─..."/>
          <w:color w:val="auto"/>
          <w:sz w:val="24"/>
          <w:szCs w:val="24"/>
        </w:rPr>
        <w:t xml:space="preserve">及与本公司签署的各项规章等承诺。本公司愿意肩负社会责任，贯彻始终，若对社会责任有违背的地方，不断改善，并透过适当的渠道，对公众公开。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本公司现向各界郑重承诺：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1、公司遵守国家劳动法规、环保法规及相关法规。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2、禁止使用童工和强迫劳动，不接受任何用童工、囚工或强迫劳工的供应商或分包商。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3、所有员工一视同仁，不拘性别、不拘种族、不拘宗教、不拘社会归属，反对歧视。尊重员工的基本人权，禁止任何形式的侮辱人格行为。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4、提供安全卫生的工作和生活条件，确保员工的健康与安全。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5、推动劳资合作，尊重员工的结社自由和集体谈判权。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6、合理安排生产计划，合理安排工人的工作时间和休息休假。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7、提供合理的工资福利，符合法律法规的相关规定。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8、持续改善工作条件和员工福利。 </w:t>
      </w:r>
    </w:p>
    <w:p>
      <w:pPr>
        <w:pStyle w:val="27"/>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9、节能减排，保护环境，共建和谐，造福社会。 </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outlineLvl w:val="9"/>
        <w:rPr>
          <w:rFonts w:hint="eastAsia"/>
          <w:color w:val="auto"/>
        </w:rPr>
      </w:pPr>
      <w:r>
        <w:rPr>
          <w:rFonts w:hint="eastAsia"/>
          <w:color w:val="auto"/>
          <w:lang w:eastAsia="zh-CN"/>
        </w:rPr>
        <w:t>同时，</w:t>
      </w:r>
      <w:r>
        <w:rPr>
          <w:rFonts w:hint="eastAsia"/>
          <w:color w:val="auto"/>
        </w:rPr>
        <w:t>公司结合自身业务和运营特点，通过科学的方法进行利益相关方识别，不断加强沟通交流，了解各方在社会责任领域的诉求，并用社会责任实践积极回应和满足各个利益相关方关注的议题，促进利益相关方参与，积极构建和谐共赢的利益相关方关系。</w:t>
      </w:r>
    </w:p>
    <w:p>
      <w:pPr>
        <w:pStyle w:val="2"/>
        <w:ind w:left="0" w:leftChars="0" w:firstLine="0" w:firstLineChars="0"/>
        <w:jc w:val="center"/>
        <w:rPr>
          <w:rFonts w:hint="default" w:eastAsia="宋体"/>
          <w:color w:val="auto"/>
          <w:lang w:val="en-US" w:eastAsia="zh-CN"/>
        </w:rPr>
      </w:pPr>
      <w:r>
        <w:rPr>
          <w:rFonts w:hint="eastAsia"/>
          <w:color w:val="auto"/>
          <w:lang w:eastAsia="zh-CN"/>
        </w:rPr>
        <w:t>表</w:t>
      </w:r>
      <w:r>
        <w:rPr>
          <w:rFonts w:hint="eastAsia"/>
          <w:color w:val="auto"/>
          <w:lang w:val="en-US" w:eastAsia="zh-CN"/>
        </w:rPr>
        <w:t>2  利益相关方需求情况</w:t>
      </w:r>
    </w:p>
    <w:tbl>
      <w:tblPr>
        <w:tblStyle w:val="21"/>
        <w:tblW w:w="9278"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19"/>
        <w:gridCol w:w="3508"/>
        <w:gridCol w:w="425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blHeader/>
          <w:jc w:val="center"/>
        </w:trPr>
        <w:tc>
          <w:tcPr>
            <w:tcW w:w="1519" w:type="dxa"/>
            <w:tcBorders>
              <w:tl2br w:val="nil"/>
              <w:tr2bl w:val="nil"/>
            </w:tcBorders>
            <w:shd w:val="clear" w:color="auto" w:fill="B8CCE4" w:themeFill="accent1" w:themeFillTint="66"/>
            <w:vAlign w:val="center"/>
          </w:tcPr>
          <w:p>
            <w:pPr>
              <w:spacing w:line="240" w:lineRule="auto"/>
              <w:ind w:firstLine="0" w:firstLineChars="0"/>
              <w:jc w:val="center"/>
              <w:rPr>
                <w:b/>
                <w:color w:val="auto"/>
              </w:rPr>
            </w:pPr>
            <w:r>
              <w:rPr>
                <w:rFonts w:hint="eastAsia"/>
                <w:b/>
                <w:color w:val="auto"/>
              </w:rPr>
              <w:t>利益相关方</w:t>
            </w:r>
          </w:p>
        </w:tc>
        <w:tc>
          <w:tcPr>
            <w:tcW w:w="3508" w:type="dxa"/>
            <w:tcBorders>
              <w:tl2br w:val="nil"/>
              <w:tr2bl w:val="nil"/>
            </w:tcBorders>
            <w:shd w:val="clear" w:color="auto" w:fill="B8CCE4" w:themeFill="accent1" w:themeFillTint="66"/>
            <w:vAlign w:val="center"/>
          </w:tcPr>
          <w:p>
            <w:pPr>
              <w:spacing w:line="240" w:lineRule="auto"/>
              <w:ind w:firstLine="0" w:firstLineChars="0"/>
              <w:jc w:val="center"/>
              <w:rPr>
                <w:b/>
                <w:color w:val="auto"/>
              </w:rPr>
            </w:pPr>
            <w:r>
              <w:rPr>
                <w:rFonts w:hint="eastAsia"/>
                <w:b/>
                <w:color w:val="auto"/>
              </w:rPr>
              <w:t>要求与期望</w:t>
            </w:r>
          </w:p>
        </w:tc>
        <w:tc>
          <w:tcPr>
            <w:tcW w:w="4251" w:type="dxa"/>
            <w:tcBorders>
              <w:tl2br w:val="nil"/>
              <w:tr2bl w:val="nil"/>
            </w:tcBorders>
            <w:shd w:val="clear" w:color="auto" w:fill="B8CCE4" w:themeFill="accent1" w:themeFillTint="66"/>
            <w:vAlign w:val="center"/>
          </w:tcPr>
          <w:p>
            <w:pPr>
              <w:spacing w:line="240" w:lineRule="auto"/>
              <w:ind w:firstLine="0" w:firstLineChars="0"/>
              <w:jc w:val="center"/>
              <w:rPr>
                <w:b/>
                <w:color w:val="auto"/>
              </w:rPr>
            </w:pPr>
            <w:r>
              <w:rPr>
                <w:rFonts w:hint="eastAsia"/>
                <w:b/>
                <w:color w:val="auto"/>
              </w:rPr>
              <w:t>沟通方式</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519" w:type="dxa"/>
            <w:tcBorders>
              <w:tl2br w:val="nil"/>
              <w:tr2bl w:val="nil"/>
            </w:tcBorders>
            <w:vAlign w:val="center"/>
          </w:tcPr>
          <w:p>
            <w:pPr>
              <w:pStyle w:val="31"/>
              <w:spacing w:line="240" w:lineRule="auto"/>
              <w:jc w:val="center"/>
              <w:rPr>
                <w:color w:val="auto"/>
              </w:rPr>
            </w:pPr>
            <w:r>
              <w:rPr>
                <w:rFonts w:hint="eastAsia"/>
                <w:color w:val="auto"/>
              </w:rPr>
              <w:t>政府</w:t>
            </w:r>
          </w:p>
        </w:tc>
        <w:tc>
          <w:tcPr>
            <w:tcW w:w="3508" w:type="dxa"/>
            <w:tcBorders>
              <w:tl2br w:val="nil"/>
              <w:tr2bl w:val="nil"/>
            </w:tcBorders>
            <w:vAlign w:val="center"/>
          </w:tcPr>
          <w:p>
            <w:pPr>
              <w:pStyle w:val="31"/>
              <w:spacing w:line="240" w:lineRule="auto"/>
              <w:jc w:val="center"/>
              <w:rPr>
                <w:color w:val="auto"/>
              </w:rPr>
            </w:pPr>
            <w:r>
              <w:rPr>
                <w:rFonts w:hint="eastAsia"/>
                <w:color w:val="auto"/>
              </w:rPr>
              <w:t>依法合规运营；</w:t>
            </w:r>
          </w:p>
          <w:p>
            <w:pPr>
              <w:pStyle w:val="31"/>
              <w:spacing w:line="240" w:lineRule="auto"/>
              <w:jc w:val="center"/>
              <w:rPr>
                <w:color w:val="auto"/>
              </w:rPr>
            </w:pPr>
            <w:r>
              <w:rPr>
                <w:rFonts w:hint="eastAsia"/>
                <w:color w:val="auto"/>
              </w:rPr>
              <w:t>遵守商业道德；</w:t>
            </w:r>
          </w:p>
          <w:p>
            <w:pPr>
              <w:pStyle w:val="31"/>
              <w:spacing w:line="240" w:lineRule="auto"/>
              <w:jc w:val="center"/>
              <w:rPr>
                <w:color w:val="auto"/>
              </w:rPr>
            </w:pPr>
            <w:r>
              <w:rPr>
                <w:rFonts w:hint="eastAsia"/>
                <w:color w:val="auto"/>
              </w:rPr>
              <w:t>保障安全生产平稳运营；</w:t>
            </w:r>
          </w:p>
          <w:p>
            <w:pPr>
              <w:pStyle w:val="31"/>
              <w:spacing w:line="240" w:lineRule="auto"/>
              <w:jc w:val="center"/>
              <w:rPr>
                <w:color w:val="auto"/>
              </w:rPr>
            </w:pPr>
            <w:r>
              <w:rPr>
                <w:rFonts w:hint="eastAsia"/>
                <w:color w:val="auto"/>
              </w:rPr>
              <w:t>积极带动就业</w:t>
            </w:r>
          </w:p>
        </w:tc>
        <w:tc>
          <w:tcPr>
            <w:tcW w:w="4251" w:type="dxa"/>
            <w:tcBorders>
              <w:tl2br w:val="nil"/>
              <w:tr2bl w:val="nil"/>
            </w:tcBorders>
            <w:vAlign w:val="center"/>
          </w:tcPr>
          <w:p>
            <w:pPr>
              <w:pStyle w:val="31"/>
              <w:spacing w:line="240" w:lineRule="auto"/>
              <w:jc w:val="center"/>
              <w:rPr>
                <w:color w:val="auto"/>
              </w:rPr>
            </w:pPr>
            <w:r>
              <w:rPr>
                <w:rFonts w:hint="eastAsia"/>
                <w:color w:val="auto"/>
              </w:rPr>
              <w:t>遵守各项法律法规、依法纳税；</w:t>
            </w:r>
          </w:p>
          <w:p>
            <w:pPr>
              <w:pStyle w:val="31"/>
              <w:spacing w:line="240" w:lineRule="auto"/>
              <w:jc w:val="center"/>
              <w:rPr>
                <w:color w:val="auto"/>
              </w:rPr>
            </w:pPr>
            <w:r>
              <w:rPr>
                <w:rFonts w:hint="eastAsia"/>
                <w:color w:val="auto"/>
              </w:rPr>
              <w:t>配合开展社会治理工作；</w:t>
            </w:r>
          </w:p>
          <w:p>
            <w:pPr>
              <w:pStyle w:val="31"/>
              <w:spacing w:line="240" w:lineRule="auto"/>
              <w:jc w:val="center"/>
              <w:rPr>
                <w:color w:val="auto"/>
              </w:rPr>
            </w:pPr>
            <w:r>
              <w:rPr>
                <w:rFonts w:hint="eastAsia"/>
                <w:color w:val="auto"/>
              </w:rPr>
              <w:t>强化安全生产管理；</w:t>
            </w:r>
          </w:p>
          <w:p>
            <w:pPr>
              <w:pStyle w:val="31"/>
              <w:spacing w:line="240" w:lineRule="auto"/>
              <w:jc w:val="center"/>
              <w:rPr>
                <w:color w:val="auto"/>
              </w:rPr>
            </w:pPr>
            <w:r>
              <w:rPr>
                <w:rFonts w:hint="eastAsia"/>
                <w:color w:val="auto"/>
              </w:rPr>
              <w:t>积极创造就业机会</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519" w:type="dxa"/>
            <w:tcBorders>
              <w:tl2br w:val="nil"/>
              <w:tr2bl w:val="nil"/>
            </w:tcBorders>
            <w:vAlign w:val="center"/>
          </w:tcPr>
          <w:p>
            <w:pPr>
              <w:pStyle w:val="31"/>
              <w:spacing w:line="240" w:lineRule="auto"/>
              <w:jc w:val="center"/>
              <w:rPr>
                <w:color w:val="auto"/>
              </w:rPr>
            </w:pPr>
            <w:r>
              <w:rPr>
                <w:rFonts w:hint="eastAsia"/>
                <w:color w:val="auto"/>
              </w:rPr>
              <w:t>员工</w:t>
            </w:r>
          </w:p>
        </w:tc>
        <w:tc>
          <w:tcPr>
            <w:tcW w:w="3508" w:type="dxa"/>
            <w:tcBorders>
              <w:tl2br w:val="nil"/>
              <w:tr2bl w:val="nil"/>
            </w:tcBorders>
            <w:vAlign w:val="center"/>
          </w:tcPr>
          <w:p>
            <w:pPr>
              <w:pStyle w:val="31"/>
              <w:spacing w:line="240" w:lineRule="auto"/>
              <w:jc w:val="center"/>
              <w:rPr>
                <w:color w:val="auto"/>
              </w:rPr>
            </w:pPr>
            <w:r>
              <w:rPr>
                <w:rFonts w:hint="eastAsia"/>
                <w:color w:val="auto"/>
              </w:rPr>
              <w:t>保障合法权益；</w:t>
            </w:r>
          </w:p>
          <w:p>
            <w:pPr>
              <w:pStyle w:val="31"/>
              <w:spacing w:line="240" w:lineRule="auto"/>
              <w:jc w:val="center"/>
              <w:rPr>
                <w:color w:val="auto"/>
              </w:rPr>
            </w:pPr>
            <w:r>
              <w:rPr>
                <w:rFonts w:hint="eastAsia"/>
                <w:color w:val="auto"/>
              </w:rPr>
              <w:t>提供职业健康安全保障；</w:t>
            </w:r>
          </w:p>
          <w:p>
            <w:pPr>
              <w:pStyle w:val="31"/>
              <w:spacing w:line="240" w:lineRule="auto"/>
              <w:jc w:val="center"/>
              <w:rPr>
                <w:color w:val="auto"/>
              </w:rPr>
            </w:pPr>
            <w:r>
              <w:rPr>
                <w:rFonts w:hint="eastAsia"/>
                <w:color w:val="auto"/>
              </w:rPr>
              <w:t>提供职业发展与晋升通道；</w:t>
            </w:r>
          </w:p>
          <w:p>
            <w:pPr>
              <w:pStyle w:val="31"/>
              <w:spacing w:line="240" w:lineRule="auto"/>
              <w:jc w:val="center"/>
              <w:rPr>
                <w:color w:val="auto"/>
              </w:rPr>
            </w:pPr>
            <w:r>
              <w:rPr>
                <w:rFonts w:hint="eastAsia"/>
                <w:color w:val="auto"/>
              </w:rPr>
              <w:t>舒适的工休环境</w:t>
            </w:r>
          </w:p>
        </w:tc>
        <w:tc>
          <w:tcPr>
            <w:tcW w:w="4251" w:type="dxa"/>
            <w:tcBorders>
              <w:tl2br w:val="nil"/>
              <w:tr2bl w:val="nil"/>
            </w:tcBorders>
            <w:vAlign w:val="center"/>
          </w:tcPr>
          <w:p>
            <w:pPr>
              <w:pStyle w:val="31"/>
              <w:spacing w:line="240" w:lineRule="auto"/>
              <w:jc w:val="center"/>
              <w:rPr>
                <w:color w:val="auto"/>
              </w:rPr>
            </w:pPr>
            <w:r>
              <w:rPr>
                <w:rFonts w:hint="eastAsia"/>
                <w:color w:val="auto"/>
              </w:rPr>
              <w:t>符合各项国家相关法规；</w:t>
            </w:r>
          </w:p>
          <w:p>
            <w:pPr>
              <w:pStyle w:val="31"/>
              <w:spacing w:line="240" w:lineRule="auto"/>
              <w:jc w:val="center"/>
              <w:rPr>
                <w:color w:val="auto"/>
              </w:rPr>
            </w:pPr>
            <w:r>
              <w:rPr>
                <w:rFonts w:hint="eastAsia"/>
                <w:color w:val="auto"/>
              </w:rPr>
              <w:t>提供健康安全的工作环境及应知应会培训；</w:t>
            </w:r>
          </w:p>
          <w:p>
            <w:pPr>
              <w:pStyle w:val="31"/>
              <w:spacing w:line="240" w:lineRule="auto"/>
              <w:jc w:val="center"/>
              <w:rPr>
                <w:color w:val="auto"/>
              </w:rPr>
            </w:pPr>
            <w:r>
              <w:rPr>
                <w:rFonts w:hint="eastAsia"/>
                <w:color w:val="auto"/>
              </w:rPr>
              <w:t>提供专业化、个性化的职业培训与晋升通道；</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519" w:type="dxa"/>
            <w:tcBorders>
              <w:tl2br w:val="nil"/>
              <w:tr2bl w:val="nil"/>
            </w:tcBorders>
            <w:vAlign w:val="center"/>
          </w:tcPr>
          <w:p>
            <w:pPr>
              <w:pStyle w:val="31"/>
              <w:spacing w:line="240" w:lineRule="auto"/>
              <w:jc w:val="center"/>
              <w:rPr>
                <w:color w:val="auto"/>
              </w:rPr>
            </w:pPr>
            <w:r>
              <w:rPr>
                <w:rFonts w:hint="eastAsia"/>
                <w:color w:val="auto"/>
              </w:rPr>
              <w:t>客户</w:t>
            </w:r>
          </w:p>
        </w:tc>
        <w:tc>
          <w:tcPr>
            <w:tcW w:w="3508" w:type="dxa"/>
            <w:tcBorders>
              <w:tl2br w:val="nil"/>
              <w:tr2bl w:val="nil"/>
            </w:tcBorders>
            <w:vAlign w:val="center"/>
          </w:tcPr>
          <w:p>
            <w:pPr>
              <w:pStyle w:val="31"/>
              <w:spacing w:line="240" w:lineRule="auto"/>
              <w:jc w:val="center"/>
              <w:rPr>
                <w:color w:val="auto"/>
              </w:rPr>
            </w:pPr>
            <w:r>
              <w:rPr>
                <w:rFonts w:hint="eastAsia"/>
                <w:color w:val="auto"/>
              </w:rPr>
              <w:t>诚信经营；</w:t>
            </w:r>
          </w:p>
          <w:p>
            <w:pPr>
              <w:pStyle w:val="31"/>
              <w:spacing w:line="240" w:lineRule="auto"/>
              <w:jc w:val="center"/>
              <w:rPr>
                <w:color w:val="auto"/>
              </w:rPr>
            </w:pPr>
            <w:r>
              <w:rPr>
                <w:rFonts w:hint="eastAsia"/>
                <w:color w:val="auto"/>
              </w:rPr>
              <w:t>提供质量可靠的产品；</w:t>
            </w:r>
          </w:p>
          <w:p>
            <w:pPr>
              <w:pStyle w:val="31"/>
              <w:spacing w:line="240" w:lineRule="auto"/>
              <w:jc w:val="center"/>
              <w:rPr>
                <w:color w:val="auto"/>
              </w:rPr>
            </w:pPr>
            <w:r>
              <w:rPr>
                <w:rFonts w:hint="eastAsia"/>
                <w:color w:val="auto"/>
              </w:rPr>
              <w:t>提供优质的服务</w:t>
            </w:r>
          </w:p>
        </w:tc>
        <w:tc>
          <w:tcPr>
            <w:tcW w:w="4251" w:type="dxa"/>
            <w:tcBorders>
              <w:tl2br w:val="nil"/>
              <w:tr2bl w:val="nil"/>
            </w:tcBorders>
            <w:vAlign w:val="center"/>
          </w:tcPr>
          <w:p>
            <w:pPr>
              <w:pStyle w:val="31"/>
              <w:spacing w:line="240" w:lineRule="auto"/>
              <w:jc w:val="center"/>
              <w:rPr>
                <w:color w:val="auto"/>
              </w:rPr>
            </w:pPr>
            <w:r>
              <w:rPr>
                <w:rFonts w:hint="eastAsia"/>
                <w:color w:val="auto"/>
              </w:rPr>
              <w:t>诚实守信服务客户；</w:t>
            </w:r>
          </w:p>
          <w:p>
            <w:pPr>
              <w:pStyle w:val="31"/>
              <w:spacing w:line="240" w:lineRule="auto"/>
              <w:jc w:val="center"/>
              <w:rPr>
                <w:color w:val="auto"/>
              </w:rPr>
            </w:pPr>
            <w:r>
              <w:rPr>
                <w:rFonts w:hint="eastAsia"/>
                <w:color w:val="auto"/>
              </w:rPr>
              <w:t>提供满足客户需求与期望的产品和服务；</w:t>
            </w:r>
          </w:p>
          <w:p>
            <w:pPr>
              <w:pStyle w:val="31"/>
              <w:spacing w:line="240" w:lineRule="auto"/>
              <w:jc w:val="center"/>
              <w:rPr>
                <w:color w:val="auto"/>
              </w:rPr>
            </w:pPr>
            <w:r>
              <w:rPr>
                <w:rFonts w:hint="eastAsia"/>
                <w:color w:val="auto"/>
              </w:rPr>
              <w:t>设立客服专线</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519" w:type="dxa"/>
            <w:tcBorders>
              <w:tl2br w:val="nil"/>
              <w:tr2bl w:val="nil"/>
            </w:tcBorders>
            <w:vAlign w:val="center"/>
          </w:tcPr>
          <w:p>
            <w:pPr>
              <w:pStyle w:val="31"/>
              <w:spacing w:line="240" w:lineRule="auto"/>
              <w:jc w:val="center"/>
              <w:rPr>
                <w:color w:val="auto"/>
              </w:rPr>
            </w:pPr>
            <w:r>
              <w:rPr>
                <w:rFonts w:hint="eastAsia"/>
                <w:color w:val="auto"/>
              </w:rPr>
              <w:t>合作伙伴</w:t>
            </w:r>
          </w:p>
        </w:tc>
        <w:tc>
          <w:tcPr>
            <w:tcW w:w="3508" w:type="dxa"/>
            <w:tcBorders>
              <w:tl2br w:val="nil"/>
              <w:tr2bl w:val="nil"/>
            </w:tcBorders>
            <w:vAlign w:val="center"/>
          </w:tcPr>
          <w:p>
            <w:pPr>
              <w:pStyle w:val="31"/>
              <w:spacing w:line="240" w:lineRule="auto"/>
              <w:jc w:val="center"/>
              <w:rPr>
                <w:color w:val="auto"/>
              </w:rPr>
            </w:pPr>
            <w:r>
              <w:rPr>
                <w:rFonts w:hint="eastAsia"/>
                <w:color w:val="auto"/>
              </w:rPr>
              <w:t>遵守商业道德；</w:t>
            </w:r>
          </w:p>
          <w:p>
            <w:pPr>
              <w:pStyle w:val="31"/>
              <w:spacing w:line="240" w:lineRule="auto"/>
              <w:jc w:val="center"/>
              <w:rPr>
                <w:color w:val="auto"/>
              </w:rPr>
            </w:pPr>
            <w:r>
              <w:rPr>
                <w:rFonts w:hint="eastAsia"/>
                <w:color w:val="auto"/>
              </w:rPr>
              <w:t>公平竞争；</w:t>
            </w:r>
          </w:p>
          <w:p>
            <w:pPr>
              <w:pStyle w:val="31"/>
              <w:spacing w:line="240" w:lineRule="auto"/>
              <w:jc w:val="center"/>
              <w:rPr>
                <w:color w:val="auto"/>
              </w:rPr>
            </w:pPr>
            <w:r>
              <w:rPr>
                <w:rFonts w:hint="eastAsia"/>
                <w:color w:val="auto"/>
              </w:rPr>
              <w:t>公平、公正、公开采供；</w:t>
            </w:r>
          </w:p>
          <w:p>
            <w:pPr>
              <w:pStyle w:val="31"/>
              <w:spacing w:line="240" w:lineRule="auto"/>
              <w:jc w:val="center"/>
              <w:rPr>
                <w:color w:val="auto"/>
              </w:rPr>
            </w:pPr>
            <w:r>
              <w:rPr>
                <w:rFonts w:hint="eastAsia"/>
                <w:color w:val="auto"/>
              </w:rPr>
              <w:t>提供相关辅导与支持</w:t>
            </w:r>
          </w:p>
        </w:tc>
        <w:tc>
          <w:tcPr>
            <w:tcW w:w="4251" w:type="dxa"/>
            <w:tcBorders>
              <w:tl2br w:val="nil"/>
              <w:tr2bl w:val="nil"/>
            </w:tcBorders>
            <w:vAlign w:val="center"/>
          </w:tcPr>
          <w:p>
            <w:pPr>
              <w:pStyle w:val="31"/>
              <w:spacing w:line="240" w:lineRule="auto"/>
              <w:jc w:val="center"/>
              <w:rPr>
                <w:color w:val="auto"/>
              </w:rPr>
            </w:pPr>
            <w:r>
              <w:rPr>
                <w:rFonts w:hint="eastAsia"/>
                <w:color w:val="auto"/>
              </w:rPr>
              <w:t>开展负责人的采购工作；</w:t>
            </w:r>
          </w:p>
          <w:p>
            <w:pPr>
              <w:pStyle w:val="31"/>
              <w:spacing w:line="240" w:lineRule="auto"/>
              <w:jc w:val="center"/>
              <w:rPr>
                <w:color w:val="auto"/>
              </w:rPr>
            </w:pPr>
            <w:r>
              <w:rPr>
                <w:rFonts w:hint="eastAsia"/>
                <w:color w:val="auto"/>
              </w:rPr>
              <w:t>开展供应链合作</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519" w:type="dxa"/>
            <w:tcBorders>
              <w:tl2br w:val="nil"/>
              <w:tr2bl w:val="nil"/>
            </w:tcBorders>
            <w:vAlign w:val="center"/>
          </w:tcPr>
          <w:p>
            <w:pPr>
              <w:pStyle w:val="31"/>
              <w:spacing w:line="240" w:lineRule="auto"/>
              <w:jc w:val="center"/>
              <w:rPr>
                <w:color w:val="auto"/>
              </w:rPr>
            </w:pPr>
            <w:r>
              <w:rPr>
                <w:rFonts w:hint="eastAsia"/>
                <w:color w:val="auto"/>
              </w:rPr>
              <w:t>环境</w:t>
            </w:r>
          </w:p>
        </w:tc>
        <w:tc>
          <w:tcPr>
            <w:tcW w:w="3508" w:type="dxa"/>
            <w:tcBorders>
              <w:tl2br w:val="nil"/>
              <w:tr2bl w:val="nil"/>
            </w:tcBorders>
            <w:vAlign w:val="center"/>
          </w:tcPr>
          <w:p>
            <w:pPr>
              <w:pStyle w:val="31"/>
              <w:spacing w:line="240" w:lineRule="auto"/>
              <w:jc w:val="center"/>
              <w:rPr>
                <w:color w:val="auto"/>
              </w:rPr>
            </w:pPr>
            <w:r>
              <w:rPr>
                <w:rFonts w:hint="eastAsia"/>
                <w:color w:val="auto"/>
              </w:rPr>
              <w:t>落实国内外节能减排政策、法规；</w:t>
            </w:r>
          </w:p>
          <w:p>
            <w:pPr>
              <w:pStyle w:val="31"/>
              <w:spacing w:line="240" w:lineRule="auto"/>
              <w:jc w:val="center"/>
              <w:rPr>
                <w:color w:val="auto"/>
              </w:rPr>
            </w:pPr>
            <w:r>
              <w:rPr>
                <w:rFonts w:hint="eastAsia"/>
                <w:color w:val="auto"/>
              </w:rPr>
              <w:t>实现绿色管理与绿色运营；</w:t>
            </w:r>
          </w:p>
          <w:p>
            <w:pPr>
              <w:pStyle w:val="31"/>
              <w:spacing w:line="240" w:lineRule="auto"/>
              <w:jc w:val="center"/>
              <w:rPr>
                <w:color w:val="auto"/>
              </w:rPr>
            </w:pPr>
            <w:r>
              <w:rPr>
                <w:rFonts w:hint="eastAsia"/>
                <w:color w:val="auto"/>
              </w:rPr>
              <w:t>保护生态环境</w:t>
            </w:r>
          </w:p>
        </w:tc>
        <w:tc>
          <w:tcPr>
            <w:tcW w:w="4251" w:type="dxa"/>
            <w:tcBorders>
              <w:tl2br w:val="nil"/>
              <w:tr2bl w:val="nil"/>
            </w:tcBorders>
            <w:vAlign w:val="center"/>
          </w:tcPr>
          <w:p>
            <w:pPr>
              <w:pStyle w:val="31"/>
              <w:spacing w:line="240" w:lineRule="auto"/>
              <w:jc w:val="center"/>
              <w:rPr>
                <w:color w:val="auto"/>
              </w:rPr>
            </w:pPr>
            <w:r>
              <w:rPr>
                <w:rFonts w:hint="eastAsia"/>
                <w:color w:val="auto"/>
              </w:rPr>
              <w:t>建立公司绿色管理组织体系；</w:t>
            </w:r>
          </w:p>
          <w:p>
            <w:pPr>
              <w:pStyle w:val="31"/>
              <w:spacing w:line="240" w:lineRule="auto"/>
              <w:jc w:val="center"/>
              <w:rPr>
                <w:color w:val="auto"/>
              </w:rPr>
            </w:pPr>
            <w:r>
              <w:rPr>
                <w:rFonts w:hint="eastAsia"/>
                <w:color w:val="auto"/>
              </w:rPr>
              <w:t>全面开展节能减排工作；</w:t>
            </w:r>
          </w:p>
          <w:p>
            <w:pPr>
              <w:pStyle w:val="31"/>
              <w:spacing w:line="240" w:lineRule="auto"/>
              <w:jc w:val="center"/>
              <w:rPr>
                <w:color w:val="auto"/>
              </w:rPr>
            </w:pPr>
            <w:r>
              <w:rPr>
                <w:rFonts w:hint="eastAsia"/>
                <w:color w:val="auto"/>
              </w:rPr>
              <w:t>开展绿色设计、绿色制造、绿色服务工作；</w:t>
            </w:r>
          </w:p>
          <w:p>
            <w:pPr>
              <w:pStyle w:val="31"/>
              <w:spacing w:line="240" w:lineRule="auto"/>
              <w:jc w:val="center"/>
              <w:rPr>
                <w:color w:val="auto"/>
              </w:rPr>
            </w:pPr>
            <w:r>
              <w:rPr>
                <w:rFonts w:hint="eastAsia"/>
                <w:color w:val="auto"/>
              </w:rPr>
              <w:t>实施绿色办公；</w:t>
            </w:r>
          </w:p>
          <w:p>
            <w:pPr>
              <w:pStyle w:val="31"/>
              <w:spacing w:line="240" w:lineRule="auto"/>
              <w:jc w:val="center"/>
              <w:rPr>
                <w:color w:val="auto"/>
              </w:rPr>
            </w:pPr>
            <w:r>
              <w:rPr>
                <w:rFonts w:hint="eastAsia"/>
                <w:color w:val="auto"/>
              </w:rPr>
              <w:t>实践绿色公益</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519" w:type="dxa"/>
            <w:tcBorders>
              <w:tl2br w:val="nil"/>
              <w:tr2bl w:val="nil"/>
            </w:tcBorders>
            <w:vAlign w:val="center"/>
          </w:tcPr>
          <w:p>
            <w:pPr>
              <w:pStyle w:val="31"/>
              <w:spacing w:line="240" w:lineRule="auto"/>
              <w:jc w:val="center"/>
              <w:rPr>
                <w:color w:val="auto"/>
              </w:rPr>
            </w:pPr>
            <w:r>
              <w:rPr>
                <w:rFonts w:hint="eastAsia"/>
                <w:color w:val="auto"/>
              </w:rPr>
              <w:t>社会和公众</w:t>
            </w:r>
          </w:p>
        </w:tc>
        <w:tc>
          <w:tcPr>
            <w:tcW w:w="3508" w:type="dxa"/>
            <w:tcBorders>
              <w:tl2br w:val="nil"/>
              <w:tr2bl w:val="nil"/>
            </w:tcBorders>
            <w:vAlign w:val="center"/>
          </w:tcPr>
          <w:p>
            <w:pPr>
              <w:pStyle w:val="31"/>
              <w:spacing w:line="240" w:lineRule="auto"/>
              <w:jc w:val="center"/>
              <w:rPr>
                <w:color w:val="auto"/>
              </w:rPr>
            </w:pPr>
            <w:r>
              <w:rPr>
                <w:rFonts w:hint="eastAsia"/>
                <w:color w:val="auto"/>
              </w:rPr>
              <w:t>支持社会公益事业</w:t>
            </w:r>
          </w:p>
        </w:tc>
        <w:tc>
          <w:tcPr>
            <w:tcW w:w="4251" w:type="dxa"/>
            <w:tcBorders>
              <w:tl2br w:val="nil"/>
              <w:tr2bl w:val="nil"/>
            </w:tcBorders>
            <w:vAlign w:val="center"/>
          </w:tcPr>
          <w:p>
            <w:pPr>
              <w:pStyle w:val="31"/>
              <w:spacing w:line="240" w:lineRule="auto"/>
              <w:jc w:val="center"/>
              <w:rPr>
                <w:color w:val="auto"/>
              </w:rPr>
            </w:pPr>
            <w:r>
              <w:rPr>
                <w:rFonts w:hint="eastAsia"/>
                <w:color w:val="auto"/>
              </w:rPr>
              <w:t>开展志愿者行动；</w:t>
            </w:r>
          </w:p>
          <w:p>
            <w:pPr>
              <w:pStyle w:val="31"/>
              <w:spacing w:line="240" w:lineRule="auto"/>
              <w:jc w:val="center"/>
              <w:rPr>
                <w:color w:val="auto"/>
              </w:rPr>
            </w:pPr>
            <w:r>
              <w:rPr>
                <w:rFonts w:hint="eastAsia"/>
                <w:color w:val="auto"/>
              </w:rPr>
              <w:t>参与慈善事业，积极投身公益事业</w:t>
            </w:r>
          </w:p>
        </w:tc>
      </w:tr>
      <w:bookmarkEnd w:id="15"/>
    </w:tbl>
    <w:p>
      <w:pPr>
        <w:pStyle w:val="2"/>
        <w:rPr>
          <w:rFonts w:hint="eastAsia"/>
          <w:color w:val="auto"/>
          <w:lang w:eastAsia="zh-CN"/>
        </w:rPr>
      </w:pPr>
      <w:bookmarkStart w:id="18" w:name="_Toc524013533"/>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4"/>
        <w:numPr>
          <w:ilvl w:val="0"/>
          <w:numId w:val="0"/>
        </w:numPr>
        <w:ind w:leftChars="0"/>
        <w:jc w:val="center"/>
        <w:rPr>
          <w:rFonts w:hint="eastAsia"/>
          <w:color w:val="auto"/>
          <w:sz w:val="30"/>
          <w:szCs w:val="30"/>
          <w:lang w:eastAsia="zh-CN"/>
        </w:rPr>
      </w:pPr>
      <w:bookmarkStart w:id="19" w:name="_Toc23627"/>
      <w:r>
        <w:rPr>
          <w:rFonts w:hint="eastAsia"/>
          <w:color w:val="auto"/>
          <w:sz w:val="30"/>
          <w:szCs w:val="30"/>
          <w:lang w:eastAsia="zh-CN"/>
        </w:rPr>
        <w:t>第二章</w:t>
      </w:r>
      <w:r>
        <w:rPr>
          <w:rFonts w:hint="eastAsia"/>
          <w:color w:val="auto"/>
          <w:sz w:val="30"/>
          <w:szCs w:val="30"/>
          <w:lang w:val="en-US" w:eastAsia="zh-CN"/>
        </w:rPr>
        <w:t xml:space="preserve">  </w:t>
      </w:r>
      <w:r>
        <w:rPr>
          <w:rFonts w:hint="eastAsia"/>
          <w:color w:val="auto"/>
          <w:sz w:val="30"/>
          <w:szCs w:val="30"/>
          <w:lang w:eastAsia="zh-CN"/>
        </w:rPr>
        <w:t>安全生产</w:t>
      </w:r>
      <w:bookmarkEnd w:id="19"/>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color w:val="auto"/>
          <w:sz w:val="24"/>
          <w:szCs w:val="24"/>
          <w:lang w:eastAsia="zh-CN"/>
        </w:rPr>
      </w:pPr>
      <w:r>
        <w:rPr>
          <w:rFonts w:hint="eastAsia"/>
          <w:color w:val="auto"/>
          <w:sz w:val="24"/>
          <w:szCs w:val="24"/>
          <w:lang w:eastAsia="zh-CN"/>
        </w:rPr>
        <w:t xml:space="preserve">安全生产、安全管理是正源生存和发展的基础，是正源首要的社会责任，给员工创造舒适安全的工作环境也是利益相关方最为关注的议题。对于安全，正源始终保持“如履薄冰” 的心态，严守“预防为主、安全第一、以人为本、全员参与、持续改进、员工安康”工作理念。坚持“安全永无止境，每天从零开始”原则，将安全观传递至员工及利益相关方，以实现“零事故”的安全目标。 </w:t>
      </w:r>
    </w:p>
    <w:p>
      <w:pPr>
        <w:pStyle w:val="4"/>
        <w:keepNext/>
        <w:keepLines/>
        <w:pageBreakBefore w:val="0"/>
        <w:widowControl/>
        <w:numPr>
          <w:ilvl w:val="0"/>
          <w:numId w:val="0"/>
        </w:numPr>
        <w:kinsoku/>
        <w:wordWrap/>
        <w:overflowPunct/>
        <w:topLinePunct w:val="0"/>
        <w:autoSpaceDE/>
        <w:autoSpaceDN/>
        <w:bidi w:val="0"/>
        <w:adjustRightInd/>
        <w:snapToGrid/>
        <w:spacing w:before="260" w:after="0" w:line="360" w:lineRule="auto"/>
        <w:ind w:leftChars="0"/>
        <w:textAlignment w:val="auto"/>
        <w:outlineLvl w:val="1"/>
        <w:rPr>
          <w:rFonts w:hint="eastAsia" w:ascii="Times New Roman" w:hAnsi="Times New Roman"/>
          <w:color w:val="auto"/>
          <w:lang w:eastAsia="zh-CN"/>
        </w:rPr>
      </w:pPr>
      <w:bookmarkStart w:id="20" w:name="_Toc6177"/>
      <w:r>
        <w:rPr>
          <w:rFonts w:hint="eastAsia" w:ascii="Times New Roman" w:hAnsi="Times New Roman"/>
          <w:color w:val="auto"/>
          <w:lang w:eastAsia="zh-CN"/>
        </w:rPr>
        <w:t>一、组织体系</w:t>
      </w:r>
      <w:bookmarkEnd w:id="20"/>
      <w:r>
        <w:rPr>
          <w:rFonts w:hint="eastAsia" w:ascii="Times New Roman" w:hAnsi="Times New Roman"/>
          <w:color w:val="auto"/>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lang w:eastAsia="zh-CN"/>
        </w:rPr>
        <w:t>正源</w:t>
      </w:r>
      <w:r>
        <w:rPr>
          <w:rFonts w:hint="eastAsia" w:ascii="宋体_x0002_擧─..." w:hAnsi="宋体_x0002_擧─..." w:eastAsia="宋体_x0002_擧─..."/>
          <w:color w:val="auto"/>
          <w:sz w:val="24"/>
          <w:szCs w:val="24"/>
        </w:rPr>
        <w:t>已建立较为完善的安全管理体系，覆盖</w:t>
      </w:r>
      <w:r>
        <w:rPr>
          <w:rFonts w:hint="eastAsia" w:ascii="宋体_x0002_擧─..." w:hAnsi="宋体_x0002_擧─..." w:eastAsia="宋体_x0002_擧─..."/>
          <w:color w:val="auto"/>
          <w:sz w:val="24"/>
          <w:szCs w:val="24"/>
          <w:lang w:eastAsia="zh-CN"/>
        </w:rPr>
        <w:t>了</w:t>
      </w:r>
      <w:r>
        <w:rPr>
          <w:rFonts w:hint="eastAsia" w:ascii="宋体_x0002_擧─..." w:hAnsi="宋体_x0002_擧─..." w:eastAsia="宋体_x0002_擧─..."/>
          <w:color w:val="auto"/>
          <w:sz w:val="24"/>
          <w:szCs w:val="24"/>
        </w:rPr>
        <w:t>生产、业务和管理</w:t>
      </w:r>
      <w:r>
        <w:rPr>
          <w:rFonts w:hint="eastAsia" w:ascii="宋体_x0002_擧─..." w:hAnsi="宋体_x0002_擧─..." w:eastAsia="宋体_x0002_擧─..."/>
          <w:color w:val="auto"/>
          <w:sz w:val="24"/>
          <w:szCs w:val="24"/>
          <w:lang w:eastAsia="zh-CN"/>
        </w:rPr>
        <w:t>等</w:t>
      </w:r>
      <w:r>
        <w:rPr>
          <w:rFonts w:hint="eastAsia" w:ascii="宋体_x0002_擧─..." w:hAnsi="宋体_x0002_擧─..." w:eastAsia="宋体_x0002_擧─..."/>
          <w:color w:val="auto"/>
          <w:sz w:val="24"/>
          <w:szCs w:val="24"/>
        </w:rPr>
        <w:t>各领域。</w:t>
      </w:r>
      <w:r>
        <w:rPr>
          <w:rFonts w:hint="eastAsia" w:ascii="宋体_x0002_擧─..." w:hAnsi="宋体_x0002_擧─..." w:eastAsia="宋体_x0002_擧─..."/>
          <w:color w:val="auto"/>
          <w:sz w:val="24"/>
          <w:szCs w:val="24"/>
          <w:lang w:eastAsia="zh-CN"/>
        </w:rPr>
        <w:t>环安科</w:t>
      </w:r>
      <w:r>
        <w:rPr>
          <w:rFonts w:hint="eastAsia" w:ascii="宋体_x0002_擧─..." w:hAnsi="宋体_x0002_擧─..." w:eastAsia="宋体_x0002_擧─..."/>
          <w:color w:val="auto"/>
          <w:sz w:val="24"/>
          <w:szCs w:val="24"/>
        </w:rPr>
        <w:t>是安全管理和安全监察的职能部门</w:t>
      </w:r>
      <w:r>
        <w:rPr>
          <w:rFonts w:hint="eastAsia" w:ascii="宋体_x0002_擧─..." w:hAnsi="宋体_x0002_擧─..." w:eastAsia="宋体_x0002_擧─..."/>
          <w:color w:val="auto"/>
          <w:sz w:val="24"/>
          <w:szCs w:val="24"/>
          <w:lang w:eastAsia="zh-CN"/>
        </w:rPr>
        <w:t>，</w:t>
      </w:r>
      <w:r>
        <w:rPr>
          <w:rFonts w:hint="eastAsia" w:ascii="宋体_x0002_擧─..." w:hAnsi="宋体_x0002_擧─..." w:eastAsia="宋体_x0002_擧─..."/>
          <w:color w:val="auto"/>
          <w:sz w:val="24"/>
          <w:szCs w:val="24"/>
        </w:rPr>
        <w:t xml:space="preserve">安全管理的责任主体是各厂区（部门）的负责人，员工为本岗位安全直接责任人。 </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ascii="Times New Roman" w:hAnsi="Times New Roman" w:eastAsia="黑体" w:cstheme="minorBidi"/>
          <w:b/>
          <w:bCs/>
          <w:color w:val="auto"/>
          <w:kern w:val="44"/>
          <w:sz w:val="24"/>
          <w:szCs w:val="44"/>
          <w:lang w:val="en-US" w:eastAsia="zh-CN" w:bidi="ar-SA"/>
        </w:rPr>
      </w:pPr>
      <w:bookmarkStart w:id="21" w:name="_Toc5628"/>
      <w:r>
        <w:rPr>
          <w:rFonts w:hint="eastAsia" w:ascii="Times New Roman" w:hAnsi="Times New Roman" w:eastAsia="黑体" w:cstheme="minorBidi"/>
          <w:b/>
          <w:bCs/>
          <w:color w:val="auto"/>
          <w:kern w:val="44"/>
          <w:sz w:val="24"/>
          <w:szCs w:val="44"/>
          <w:lang w:val="en-US" w:eastAsia="zh-CN" w:bidi="ar-SA"/>
        </w:rPr>
        <w:t>二、安全、健康因素的识别和措施</w:t>
      </w:r>
      <w:bookmarkEnd w:id="21"/>
      <w:r>
        <w:rPr>
          <w:rFonts w:hint="eastAsia" w:ascii="Times New Roman" w:hAnsi="Times New Roman" w:eastAsia="黑体" w:cstheme="minorBidi"/>
          <w:b/>
          <w:bCs/>
          <w:color w:val="auto"/>
          <w:kern w:val="44"/>
          <w:sz w:val="24"/>
          <w:szCs w:val="44"/>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为确保环境和职业健康安全，专项制定了《</w:t>
      </w:r>
      <w:r>
        <w:rPr>
          <w:rFonts w:hint="eastAsia" w:ascii="宋体_x0002_擧─..." w:hAnsi="宋体_x0002_擧─..." w:eastAsia="宋体_x0002_擧─..."/>
          <w:color w:val="auto"/>
          <w:sz w:val="24"/>
          <w:szCs w:val="24"/>
          <w:lang w:val="en-US" w:eastAsia="zh-CN"/>
        </w:rPr>
        <w:t>环境因素、危险源识别、评价和更新程序</w:t>
      </w:r>
      <w:r>
        <w:rPr>
          <w:rFonts w:hint="eastAsia" w:ascii="宋体_x0002_擧─..." w:hAnsi="宋体_x0002_擧─..." w:eastAsia="宋体_x0002_擧─..."/>
          <w:color w:val="auto"/>
          <w:sz w:val="24"/>
          <w:szCs w:val="24"/>
        </w:rPr>
        <w:t>》，目前对</w:t>
      </w:r>
      <w:r>
        <w:rPr>
          <w:rFonts w:hint="eastAsia" w:ascii="宋体_x0002_擧─..." w:hAnsi="宋体_x0002_擧─..." w:eastAsia="宋体_x0002_擧─..."/>
          <w:color w:val="auto"/>
          <w:sz w:val="24"/>
          <w:szCs w:val="24"/>
          <w:lang w:eastAsia="zh-CN"/>
        </w:rPr>
        <w:t>正源</w:t>
      </w:r>
      <w:r>
        <w:rPr>
          <w:rFonts w:hint="eastAsia" w:ascii="宋体_x0002_擧─..." w:hAnsi="宋体_x0002_擧─..." w:eastAsia="宋体_x0002_擧─..."/>
          <w:color w:val="auto"/>
          <w:sz w:val="24"/>
          <w:szCs w:val="24"/>
        </w:rPr>
        <w:t>所有的危险化学物品，制作《MSDS安全</w:t>
      </w:r>
      <w:r>
        <w:rPr>
          <w:rFonts w:hint="eastAsia" w:ascii="宋体_x0002_擧─..." w:hAnsi="宋体_x0002_擧─..." w:eastAsia="宋体_x0002_擧─..."/>
          <w:color w:val="auto"/>
          <w:sz w:val="24"/>
          <w:szCs w:val="24"/>
          <w:lang w:eastAsia="zh-CN"/>
        </w:rPr>
        <w:t>周知</w:t>
      </w:r>
      <w:r>
        <w:rPr>
          <w:rFonts w:hint="eastAsia" w:ascii="宋体_x0002_擧─..." w:hAnsi="宋体_x0002_擧─..." w:eastAsia="宋体_x0002_擧─..."/>
          <w:color w:val="auto"/>
          <w:sz w:val="24"/>
          <w:szCs w:val="24"/>
        </w:rPr>
        <w:t>卡》</w:t>
      </w:r>
      <w:r>
        <w:rPr>
          <w:rFonts w:hint="eastAsia" w:ascii="宋体_x0002_擧─..." w:hAnsi="宋体_x0002_擧─..." w:eastAsia="宋体_x0002_擧─..."/>
          <w:color w:val="auto"/>
          <w:sz w:val="24"/>
          <w:szCs w:val="24"/>
          <w:lang w:eastAsia="zh-CN"/>
        </w:rPr>
        <w:t>并</w:t>
      </w:r>
      <w:r>
        <w:rPr>
          <w:rFonts w:hint="eastAsia" w:ascii="宋体_x0002_擧─..." w:hAnsi="宋体_x0002_擧─..." w:eastAsia="宋体_x0002_擧─..."/>
          <w:color w:val="auto"/>
          <w:sz w:val="24"/>
          <w:szCs w:val="24"/>
        </w:rPr>
        <w:t>张贴在现场。在危险因素辨识与风险评价中，识别出生产过程、日常办公、消防活动的危险因素，按事故或危险事件发生的可能性、暴露于危险环境的频率、事故可能发生的后果以及风险等级划分进行辨识和控制</w:t>
      </w:r>
      <w:r>
        <w:rPr>
          <w:rFonts w:hint="eastAsia" w:ascii="宋体_x0002_擧─..." w:hAnsi="宋体_x0002_擧─..." w:eastAsia="宋体_x0002_擧─..."/>
          <w:color w:val="auto"/>
          <w:sz w:val="24"/>
          <w:szCs w:val="24"/>
          <w:lang w:eastAsia="zh-CN"/>
        </w:rPr>
        <w:t>。</w:t>
      </w:r>
      <w:r>
        <w:rPr>
          <w:rFonts w:hint="eastAsia" w:ascii="宋体_x0002_擧─..." w:hAnsi="宋体_x0002_擧─..." w:eastAsia="宋体_x0002_擧─..."/>
          <w:color w:val="auto"/>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_x0002_擧─..." w:hAnsi="宋体_x0002_擧─..." w:eastAsia="宋体_x0002_擧─..."/>
          <w:color w:val="auto"/>
          <w:sz w:val="24"/>
          <w:szCs w:val="24"/>
          <w:lang w:eastAsia="zh-CN"/>
        </w:rPr>
      </w:pPr>
      <w:r>
        <w:rPr>
          <w:rFonts w:hint="eastAsia" w:ascii="宋体_x0002_擧─..." w:hAnsi="宋体_x0002_擧─..." w:eastAsia="宋体_x0002_擧─..."/>
          <w:color w:val="auto"/>
          <w:sz w:val="24"/>
          <w:szCs w:val="24"/>
          <w:lang w:eastAsia="zh-CN"/>
        </w:rPr>
        <w:t>此外，制定了一系列安全生产管理标准，从制度上保证安全生产。如《安全生产责任制》、《安全投入保障制度》、《安全教育制度》、《消防安全管理》、《危险作业安全管理制度》、《安全生产奖惩制度》等，切实做到安全工作有章可循。</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_x0002_擧─..." w:hAnsi="宋体_x0002_擧─..." w:eastAsia="宋体_x0002_擧─..."/>
          <w:color w:val="auto"/>
          <w:sz w:val="24"/>
          <w:szCs w:val="24"/>
          <w:lang w:eastAsia="zh-CN"/>
        </w:rPr>
      </w:pPr>
      <w:r>
        <w:rPr>
          <w:rFonts w:hint="eastAsia" w:ascii="宋体_x0002_擧─..." w:hAnsi="宋体_x0002_擧─..." w:eastAsia="宋体_x0002_擧─..."/>
          <w:color w:val="auto"/>
          <w:sz w:val="24"/>
          <w:szCs w:val="24"/>
          <w:lang w:eastAsia="zh-CN"/>
        </w:rPr>
        <w:t>正源还采用安全可视化管理，通过作业现场的图片、图形、色标、文字等具体化和形象化视觉信号迅速而准确地传递，使员工清楚明了，自主性地理解、接受、执行安全操作要求。</w:t>
      </w:r>
    </w:p>
    <w:p>
      <w:pPr>
        <w:pStyle w:val="2"/>
        <w:spacing w:line="240" w:lineRule="auto"/>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2651760" cy="3469640"/>
            <wp:effectExtent l="0" t="0" r="15240" b="16510"/>
            <wp:docPr id="44" name="图片 44" descr="IMG_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6492"/>
                    <pic:cNvPicPr>
                      <a:picLocks noChangeAspect="1"/>
                    </pic:cNvPicPr>
                  </pic:nvPicPr>
                  <pic:blipFill>
                    <a:blip r:embed="rId12"/>
                    <a:stretch>
                      <a:fillRect/>
                    </a:stretch>
                  </pic:blipFill>
                  <pic:spPr>
                    <a:xfrm>
                      <a:off x="0" y="0"/>
                      <a:ext cx="2651760" cy="34696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宋体_x0002_擧─..." w:hAnsi="宋体_x0002_擧─..." w:eastAsia="宋体_x0002_擧─..."/>
          <w:color w:val="auto"/>
          <w:sz w:val="24"/>
          <w:szCs w:val="24"/>
          <w:lang w:val="en-US" w:eastAsia="zh-CN"/>
        </w:rPr>
      </w:pPr>
      <w:r>
        <w:rPr>
          <w:rFonts w:hint="eastAsia" w:ascii="宋体_x0002_擧─..." w:hAnsi="宋体_x0002_擧─..." w:eastAsia="宋体_x0002_擧─..."/>
          <w:color w:val="auto"/>
          <w:sz w:val="24"/>
          <w:szCs w:val="24"/>
          <w:lang w:eastAsia="zh-CN"/>
        </w:rPr>
        <w:t>图</w:t>
      </w:r>
      <w:r>
        <w:rPr>
          <w:rFonts w:hint="eastAsia" w:ascii="宋体_x0002_擧─..." w:hAnsi="宋体_x0002_擧─..." w:eastAsia="宋体_x0002_擧─..."/>
          <w:color w:val="auto"/>
          <w:sz w:val="24"/>
          <w:szCs w:val="24"/>
          <w:lang w:val="en-US" w:eastAsia="zh-CN"/>
        </w:rPr>
        <w:t>2 安全可视化</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_x0002_擧─..." w:hAnsi="宋体_x0002_擧─..." w:eastAsia="宋体_x0002_擧─..."/>
          <w:color w:val="auto"/>
          <w:sz w:val="24"/>
          <w:szCs w:val="24"/>
          <w:lang w:eastAsia="zh-CN"/>
        </w:rPr>
      </w:pPr>
      <w:r>
        <w:rPr>
          <w:rFonts w:hint="eastAsia" w:ascii="宋体_x0002_擧─..." w:hAnsi="宋体_x0002_擧─..." w:eastAsia="宋体_x0002_擧─..."/>
          <w:color w:val="auto"/>
          <w:sz w:val="24"/>
          <w:szCs w:val="24"/>
          <w:lang w:eastAsia="zh-CN"/>
        </w:rPr>
        <w:t xml:space="preserve">正源还非常注重保安队伍素质建设，配置各种防卫器材，定期召开安保会议，对安保队伍进行军事队列训练，强化安保的纪律意识，树立良好的安保形象使其真正做到“令行禁止”为确保厂区安全稳定起到了不可估量的作用。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_x0002_擧─..." w:hAnsi="宋体_x0002_擧─..." w:eastAsia="宋体_x0002_擧─..."/>
          <w:color w:val="auto"/>
          <w:sz w:val="24"/>
          <w:szCs w:val="24"/>
          <w:lang w:eastAsia="zh-CN"/>
        </w:rPr>
      </w:pPr>
      <w:r>
        <w:rPr>
          <w:rFonts w:hint="eastAsia" w:ascii="宋体_x0002_擧─..." w:hAnsi="宋体_x0002_擧─..." w:eastAsia="宋体_x0002_擧─..."/>
          <w:color w:val="auto"/>
          <w:sz w:val="24"/>
          <w:szCs w:val="24"/>
          <w:lang w:eastAsia="zh-CN"/>
        </w:rPr>
        <w:t>回顾很多安全事故，无一不与粗心、疏忽有关，违规操作付出的是生命的代价，因违规操作而造成终生残疾事例有目共睹。为了加强员工的安全意识，正源提倡早会制，对于安全问题要日日讲、月月讲、年年讲、重复讲，坚持用常态化的教育牢固人的安全意识，用铁一般的制度保证安全弦紧绷，用刻不容缓地执行保证安全责任的落实。</w:t>
      </w:r>
    </w:p>
    <w:p>
      <w:pPr>
        <w:pStyle w:val="2"/>
        <w:spacing w:line="240" w:lineRule="auto"/>
        <w:ind w:left="0" w:leftChars="0" w:firstLine="0" w:firstLineChars="0"/>
        <w:rPr>
          <w:color w:val="auto"/>
        </w:rPr>
      </w:pPr>
      <w:r>
        <w:rPr>
          <w:color w:val="auto"/>
        </w:rPr>
        <w:drawing>
          <wp:inline distT="0" distB="0" distL="114300" distR="114300">
            <wp:extent cx="2593975" cy="1858645"/>
            <wp:effectExtent l="0" t="0" r="15875" b="8255"/>
            <wp:docPr id="9229" name="图片 1" descr="微信图片_2017062421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 name="图片 1" descr="微信图片_20170624214637"/>
                    <pic:cNvPicPr>
                      <a:picLocks noChangeAspect="1"/>
                    </pic:cNvPicPr>
                  </pic:nvPicPr>
                  <pic:blipFill>
                    <a:blip r:embed="rId13"/>
                    <a:stretch>
                      <a:fillRect/>
                    </a:stretch>
                  </pic:blipFill>
                  <pic:spPr>
                    <a:xfrm>
                      <a:off x="0" y="0"/>
                      <a:ext cx="2593975" cy="1858645"/>
                    </a:xfrm>
                    <a:prstGeom prst="rect">
                      <a:avLst/>
                    </a:prstGeom>
                    <a:noFill/>
                    <a:ln w="9525">
                      <a:noFill/>
                    </a:ln>
                  </pic:spPr>
                </pic:pic>
              </a:graphicData>
            </a:graphic>
          </wp:inline>
        </w:drawing>
      </w:r>
      <w:r>
        <w:rPr>
          <w:color w:val="auto"/>
        </w:rPr>
        <w:drawing>
          <wp:inline distT="0" distB="0" distL="114300" distR="114300">
            <wp:extent cx="2629535" cy="1829435"/>
            <wp:effectExtent l="0" t="0" r="18415" b="18415"/>
            <wp:docPr id="92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图片 7"/>
                    <pic:cNvPicPr>
                      <a:picLocks noChangeAspect="1"/>
                    </pic:cNvPicPr>
                  </pic:nvPicPr>
                  <pic:blipFill>
                    <a:blip r:embed="rId14"/>
                    <a:stretch>
                      <a:fillRect/>
                    </a:stretch>
                  </pic:blipFill>
                  <pic:spPr>
                    <a:xfrm>
                      <a:off x="0" y="0"/>
                      <a:ext cx="2629535" cy="1829435"/>
                    </a:xfrm>
                    <a:prstGeom prst="rect">
                      <a:avLst/>
                    </a:prstGeom>
                    <a:noFill/>
                    <a:ln w="9525">
                      <a:noFill/>
                    </a:ln>
                  </pic:spPr>
                </pic:pic>
              </a:graphicData>
            </a:graphic>
          </wp:inline>
        </w:drawing>
      </w:r>
    </w:p>
    <w:p>
      <w:pPr>
        <w:pStyle w:val="2"/>
        <w:spacing w:line="240" w:lineRule="auto"/>
        <w:ind w:left="0" w:leftChars="0" w:firstLine="0" w:firstLineChars="0"/>
        <w:jc w:val="center"/>
        <w:rPr>
          <w:rFonts w:hint="default" w:eastAsia="宋体"/>
          <w:color w:val="auto"/>
          <w:lang w:val="en-US" w:eastAsia="zh-CN"/>
        </w:rPr>
      </w:pPr>
      <w:r>
        <w:rPr>
          <w:rFonts w:hint="eastAsia"/>
          <w:color w:val="auto"/>
          <w:lang w:eastAsia="zh-CN"/>
        </w:rPr>
        <w:t>图</w:t>
      </w:r>
      <w:r>
        <w:rPr>
          <w:rFonts w:hint="eastAsia"/>
          <w:color w:val="auto"/>
          <w:lang w:val="en-US" w:eastAsia="zh-CN"/>
        </w:rPr>
        <w:t>3  车间早会照片</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ascii="Times New Roman" w:hAnsi="Times New Roman" w:eastAsia="黑体" w:cstheme="minorBidi"/>
          <w:b/>
          <w:bCs/>
          <w:color w:val="auto"/>
          <w:kern w:val="44"/>
          <w:sz w:val="24"/>
          <w:szCs w:val="44"/>
          <w:lang w:val="en-US" w:eastAsia="zh-CN" w:bidi="ar-SA"/>
        </w:rPr>
      </w:pPr>
      <w:bookmarkStart w:id="22" w:name="_Toc22791"/>
      <w:r>
        <w:rPr>
          <w:rFonts w:hint="eastAsia" w:ascii="Times New Roman" w:hAnsi="Times New Roman" w:eastAsia="黑体" w:cstheme="minorBidi"/>
          <w:b/>
          <w:bCs/>
          <w:color w:val="auto"/>
          <w:kern w:val="44"/>
          <w:sz w:val="24"/>
          <w:szCs w:val="44"/>
          <w:lang w:val="en-US" w:eastAsia="zh-CN" w:bidi="ar-SA"/>
        </w:rPr>
        <w:t>三、安全责任落实</w:t>
      </w:r>
      <w:bookmarkEnd w:id="22"/>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实行安全生产责任制：年初签订安全生产责任书，从</w:t>
      </w:r>
      <w:r>
        <w:rPr>
          <w:rFonts w:hint="eastAsia" w:ascii="宋体" w:hAnsi="宋体"/>
          <w:color w:val="auto"/>
          <w:sz w:val="24"/>
          <w:szCs w:val="24"/>
          <w:lang w:eastAsia="zh-CN"/>
        </w:rPr>
        <w:t>公司</w:t>
      </w:r>
      <w:r>
        <w:rPr>
          <w:rFonts w:hint="eastAsia" w:ascii="宋体" w:hAnsi="宋体"/>
          <w:color w:val="auto"/>
          <w:sz w:val="24"/>
          <w:szCs w:val="24"/>
        </w:rPr>
        <w:t>与各部门、</w:t>
      </w:r>
      <w:r>
        <w:rPr>
          <w:rFonts w:hint="eastAsia" w:ascii="宋体" w:hAnsi="宋体"/>
          <w:color w:val="auto"/>
          <w:sz w:val="24"/>
          <w:szCs w:val="24"/>
          <w:lang w:eastAsia="zh-CN"/>
        </w:rPr>
        <w:t>车间</w:t>
      </w:r>
      <w:r>
        <w:rPr>
          <w:rFonts w:hint="eastAsia" w:ascii="宋体" w:hAnsi="宋体"/>
          <w:color w:val="auto"/>
          <w:sz w:val="24"/>
          <w:szCs w:val="24"/>
        </w:rPr>
        <w:t xml:space="preserve">、班组签订安全生产责任制，真正做到了责任到部门、责任到岗位、责任到人，落实各部门安全生产责任，制定各部门、车间及班组安全生产标准，明确奖惩措施。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建立安全台账管理：加强安全管理基础工作，切实做到各级安全责任制落实和可追溯性</w:t>
      </w:r>
      <w:r>
        <w:rPr>
          <w:rFonts w:hint="eastAsia" w:ascii="宋体" w:hAnsi="宋体"/>
          <w:color w:val="auto"/>
          <w:sz w:val="24"/>
          <w:szCs w:val="24"/>
          <w:lang w:eastAsia="zh-CN"/>
        </w:rPr>
        <w:t>。</w:t>
      </w:r>
      <w:r>
        <w:rPr>
          <w:rFonts w:hint="eastAsia" w:ascii="宋体" w:hAnsi="宋体"/>
          <w:color w:val="auto"/>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 xml:space="preserve">三级安全教育培训：对新招收的员工进行公司级、车间级和班组级安全培训，切实落实三级安全教育培训。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 xml:space="preserve">施工安全管理：切实落实外来施工安全管理，和施工方签署《施工安全协议》，明确双方安全职责。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olor w:val="auto"/>
          <w:sz w:val="24"/>
          <w:szCs w:val="24"/>
        </w:rPr>
      </w:pPr>
      <w:r>
        <w:rPr>
          <w:rFonts w:hint="eastAsia" w:ascii="宋体" w:hAnsi="宋体"/>
          <w:color w:val="auto"/>
          <w:sz w:val="24"/>
          <w:szCs w:val="24"/>
        </w:rPr>
        <w:t>安全月活动：（1）开展</w:t>
      </w:r>
      <w:r>
        <w:rPr>
          <w:rFonts w:hint="default" w:ascii="宋体" w:hAnsi="宋体"/>
          <w:color w:val="auto"/>
          <w:sz w:val="24"/>
          <w:szCs w:val="24"/>
        </w:rPr>
        <w:t>“</w:t>
      </w:r>
      <w:r>
        <w:rPr>
          <w:rFonts w:hint="eastAsia" w:ascii="宋体" w:hAnsi="宋体"/>
          <w:color w:val="auto"/>
          <w:sz w:val="24"/>
          <w:szCs w:val="24"/>
        </w:rPr>
        <w:t>排除隐患大行动</w:t>
      </w:r>
      <w:r>
        <w:rPr>
          <w:rFonts w:hint="default" w:ascii="宋体" w:hAnsi="宋体"/>
          <w:color w:val="auto"/>
          <w:sz w:val="24"/>
          <w:szCs w:val="24"/>
        </w:rPr>
        <w:t>”</w:t>
      </w:r>
      <w:r>
        <w:rPr>
          <w:rFonts w:hint="eastAsia" w:ascii="宋体" w:hAnsi="宋体"/>
          <w:color w:val="auto"/>
          <w:sz w:val="24"/>
          <w:szCs w:val="24"/>
        </w:rPr>
        <w:t>活动；（2）员工安全生产教育；</w:t>
      </w:r>
      <w:r>
        <w:rPr>
          <w:rFonts w:hint="eastAsia" w:ascii="宋体" w:hAnsi="宋体"/>
          <w:color w:val="auto"/>
          <w:sz w:val="24"/>
          <w:szCs w:val="24"/>
          <w:lang w:eastAsia="zh-CN"/>
        </w:rPr>
        <w:t>邀请交警大队进行交通安全教育，并</w:t>
      </w:r>
      <w:r>
        <w:rPr>
          <w:rFonts w:hint="eastAsia" w:ascii="宋体" w:hAnsi="宋体"/>
          <w:color w:val="auto"/>
          <w:sz w:val="24"/>
          <w:szCs w:val="24"/>
        </w:rPr>
        <w:t>组织观看</w:t>
      </w:r>
      <w:r>
        <w:rPr>
          <w:rFonts w:hint="eastAsia" w:ascii="宋体" w:hAnsi="宋体"/>
          <w:color w:val="auto"/>
          <w:sz w:val="24"/>
          <w:szCs w:val="24"/>
          <w:lang w:eastAsia="zh-CN"/>
        </w:rPr>
        <w:t>交通安全</w:t>
      </w:r>
      <w:r>
        <w:rPr>
          <w:rFonts w:hint="eastAsia" w:ascii="宋体" w:hAnsi="宋体"/>
          <w:color w:val="auto"/>
          <w:sz w:val="24"/>
          <w:szCs w:val="24"/>
        </w:rPr>
        <w:t>事故案例</w:t>
      </w:r>
      <w:r>
        <w:rPr>
          <w:rFonts w:hint="eastAsia" w:ascii="宋体" w:hAnsi="宋体"/>
          <w:color w:val="auto"/>
          <w:sz w:val="24"/>
          <w:szCs w:val="24"/>
          <w:lang w:eastAsia="zh-CN"/>
        </w:rPr>
        <w:t>视频</w:t>
      </w:r>
      <w:r>
        <w:rPr>
          <w:rFonts w:hint="eastAsia" w:ascii="宋体" w:hAnsi="宋体"/>
          <w:color w:val="auto"/>
          <w:sz w:val="24"/>
          <w:szCs w:val="24"/>
        </w:rPr>
        <w:t>；（3）举办火灾事故应急逃生演练</w:t>
      </w:r>
      <w:r>
        <w:rPr>
          <w:rFonts w:hint="eastAsia" w:ascii="宋体" w:hAnsi="宋体"/>
          <w:color w:val="auto"/>
          <w:sz w:val="24"/>
          <w:szCs w:val="24"/>
          <w:lang w:eastAsia="zh-CN"/>
        </w:rPr>
        <w:t>。</w:t>
      </w:r>
      <w:r>
        <w:rPr>
          <w:rFonts w:hint="eastAsia" w:ascii="宋体" w:hAnsi="宋体"/>
          <w:color w:val="auto"/>
          <w:sz w:val="24"/>
          <w:szCs w:val="24"/>
        </w:rPr>
        <w:t xml:space="preserve"> </w:t>
      </w:r>
    </w:p>
    <w:p>
      <w:pPr>
        <w:pStyle w:val="2"/>
        <w:spacing w:line="240" w:lineRule="auto"/>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4271010" cy="3203575"/>
            <wp:effectExtent l="0" t="0" r="15240" b="15875"/>
            <wp:docPr id="53" name="图片 53" descr="IMG_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7115"/>
                    <pic:cNvPicPr>
                      <a:picLocks noChangeAspect="1"/>
                    </pic:cNvPicPr>
                  </pic:nvPicPr>
                  <pic:blipFill>
                    <a:blip r:embed="rId15"/>
                    <a:srcRect/>
                    <a:stretch>
                      <a:fillRect/>
                    </a:stretch>
                  </pic:blipFill>
                  <pic:spPr>
                    <a:xfrm>
                      <a:off x="0" y="0"/>
                      <a:ext cx="4271010" cy="3203575"/>
                    </a:xfrm>
                    <a:prstGeom prst="rect">
                      <a:avLst/>
                    </a:prstGeom>
                  </pic:spPr>
                </pic:pic>
              </a:graphicData>
            </a:graphic>
          </wp:inline>
        </w:drawing>
      </w:r>
    </w:p>
    <w:p>
      <w:pPr>
        <w:pStyle w:val="2"/>
        <w:spacing w:line="240" w:lineRule="auto"/>
        <w:ind w:left="0" w:leftChars="0" w:firstLine="0" w:firstLineChars="0"/>
        <w:jc w:val="center"/>
        <w:rPr>
          <w:rFonts w:hint="default" w:eastAsia="宋体"/>
          <w:color w:val="auto"/>
          <w:lang w:val="en-US" w:eastAsia="zh-CN"/>
        </w:rPr>
      </w:pPr>
      <w:r>
        <w:rPr>
          <w:rFonts w:hint="eastAsia"/>
          <w:color w:val="auto"/>
          <w:lang w:eastAsia="zh-CN"/>
        </w:rPr>
        <w:t>图</w:t>
      </w:r>
      <w:r>
        <w:rPr>
          <w:rFonts w:hint="eastAsia"/>
          <w:color w:val="auto"/>
          <w:lang w:val="en-US" w:eastAsia="zh-CN"/>
        </w:rPr>
        <w:t>4  交通安全教育</w:t>
      </w:r>
    </w:p>
    <w:p>
      <w:pPr>
        <w:pStyle w:val="4"/>
        <w:numPr>
          <w:ilvl w:val="0"/>
          <w:numId w:val="3"/>
        </w:numPr>
        <w:ind w:leftChars="0"/>
        <w:jc w:val="center"/>
        <w:rPr>
          <w:rFonts w:hint="eastAsia"/>
          <w:color w:val="auto"/>
          <w:sz w:val="30"/>
          <w:szCs w:val="30"/>
          <w:lang w:val="en-US" w:eastAsia="zh-CN"/>
        </w:rPr>
      </w:pPr>
      <w:r>
        <w:rPr>
          <w:rFonts w:hint="eastAsia"/>
          <w:color w:val="auto"/>
          <w:sz w:val="30"/>
          <w:szCs w:val="30"/>
          <w:lang w:val="en-US" w:eastAsia="zh-CN"/>
        </w:rPr>
        <w:t xml:space="preserve">  </w:t>
      </w:r>
      <w:bookmarkStart w:id="23" w:name="_Toc10245"/>
      <w:r>
        <w:rPr>
          <w:rFonts w:hint="eastAsia"/>
          <w:color w:val="auto"/>
          <w:sz w:val="30"/>
          <w:szCs w:val="30"/>
          <w:lang w:val="en-US" w:eastAsia="zh-CN"/>
        </w:rPr>
        <w:t>聚焦环境，创造绿色正源</w:t>
      </w:r>
      <w:bookmarkEnd w:id="2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lang w:eastAsia="zh-CN"/>
        </w:rPr>
      </w:pPr>
      <w:r>
        <w:rPr>
          <w:rFonts w:hint="eastAsia"/>
          <w:color w:val="auto"/>
          <w:sz w:val="24"/>
          <w:lang w:eastAsia="zh-CN"/>
        </w:rPr>
        <w:t>环境保护，关系到人类未来和发展。正源始终坚持节能减排的生产目标，将履行环境责任的理念贯穿于管理层和全体员工。</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ascii="Times New Roman" w:hAnsi="Times New Roman" w:eastAsia="黑体" w:cstheme="minorBidi"/>
          <w:b/>
          <w:bCs/>
          <w:color w:val="auto"/>
          <w:kern w:val="44"/>
          <w:sz w:val="24"/>
          <w:szCs w:val="44"/>
          <w:lang w:val="en-US" w:eastAsia="zh-CN" w:bidi="ar-SA"/>
        </w:rPr>
      </w:pPr>
      <w:bookmarkStart w:id="24" w:name="_Toc18650"/>
      <w:r>
        <w:rPr>
          <w:rFonts w:hint="eastAsia" w:ascii="Times New Roman" w:hAnsi="Times New Roman" w:eastAsia="黑体" w:cstheme="minorBidi"/>
          <w:b/>
          <w:bCs/>
          <w:color w:val="auto"/>
          <w:kern w:val="44"/>
          <w:sz w:val="24"/>
          <w:szCs w:val="44"/>
          <w:lang w:val="en-US" w:eastAsia="zh-CN" w:bidi="ar-SA"/>
        </w:rPr>
        <w:t>一、环保理念</w:t>
      </w:r>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绿水青山就是金山银山”，为促进与环境协调发展，做好企业环境保护工作，履行环保义务，正源有严格执行中国政府节能减排综合治理的各项政策，主动采取措施提高能源利用效率，减少温室气体排放，以实际行动为保护环境、促进生态平衡、实现人类可持续发展贡献力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具体措施如下：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1、成立环保管理小组，促进和管理一切环保减排的目标和政策。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2、生产运作时，对环境的伤害和风险减至最低。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3、在主要的环节中减少对能源、原料、水等的消耗。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4、确定遵守所有相关的法律要求。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5、提供给客户和第三方的环保和减碳排放的信心。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6、提高所有员工对环保和减排的学习重视。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7、最大化有效地使用所有资源。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olor w:val="auto"/>
          <w:sz w:val="24"/>
          <w:lang w:eastAsia="zh-CN"/>
        </w:rPr>
      </w:pPr>
      <w:r>
        <w:rPr>
          <w:rFonts w:hint="eastAsia" w:ascii="Times New Roman" w:hAnsi="Times New Roman"/>
          <w:color w:val="auto"/>
          <w:sz w:val="24"/>
          <w:lang w:eastAsia="zh-CN"/>
        </w:rPr>
        <w:t xml:space="preserve">8、建立一个良好的、有责任的环保形象企业。 </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ascii="Times New Roman" w:hAnsi="Times New Roman" w:eastAsia="黑体" w:cstheme="minorBidi"/>
          <w:b/>
          <w:bCs/>
          <w:color w:val="auto"/>
          <w:kern w:val="44"/>
          <w:sz w:val="24"/>
          <w:szCs w:val="44"/>
          <w:lang w:val="en-US" w:eastAsia="zh-CN" w:bidi="ar-SA"/>
        </w:rPr>
      </w:pPr>
      <w:bookmarkStart w:id="25" w:name="_Toc31322"/>
      <w:r>
        <w:rPr>
          <w:rFonts w:hint="eastAsia" w:ascii="Times New Roman" w:hAnsi="Times New Roman" w:eastAsia="黑体" w:cstheme="minorBidi"/>
          <w:b/>
          <w:bCs/>
          <w:color w:val="auto"/>
          <w:kern w:val="44"/>
          <w:sz w:val="24"/>
          <w:szCs w:val="44"/>
          <w:lang w:val="en-US" w:eastAsia="zh-CN" w:bidi="ar-SA"/>
        </w:rPr>
        <w:t>二、绿色改造大行动</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asciiTheme="minorEastAsia" w:hAnsiTheme="minorEastAsia" w:cstheme="minorEastAsia"/>
          <w:color w:val="auto"/>
          <w:sz w:val="24"/>
          <w:szCs w:val="24"/>
        </w:rPr>
        <w:t>201</w:t>
      </w:r>
      <w:r>
        <w:rPr>
          <w:rFonts w:hint="eastAsia" w:asciiTheme="minorEastAsia" w:hAnsiTheme="minorEastAsia" w:cstheme="minorEastAsia"/>
          <w:color w:val="auto"/>
          <w:sz w:val="24"/>
          <w:szCs w:val="24"/>
          <w:lang w:val="en-US" w:eastAsia="zh-CN"/>
        </w:rPr>
        <w:t>9</w:t>
      </w:r>
      <w:r>
        <w:rPr>
          <w:rFonts w:hint="eastAsia" w:asciiTheme="minorEastAsia" w:hAnsiTheme="minorEastAsia" w:cstheme="minorEastAsia"/>
          <w:color w:val="auto"/>
          <w:sz w:val="24"/>
          <w:szCs w:val="24"/>
        </w:rPr>
        <w:t>年</w:t>
      </w:r>
      <w:r>
        <w:rPr>
          <w:rFonts w:hint="eastAsia" w:asciiTheme="minorEastAsia" w:hAnsiTheme="minorEastAsia" w:cstheme="minorEastAsia"/>
          <w:color w:val="auto"/>
          <w:sz w:val="24"/>
          <w:szCs w:val="24"/>
          <w:lang w:eastAsia="zh-CN"/>
        </w:rPr>
        <w:t>，</w:t>
      </w:r>
      <w:r>
        <w:rPr>
          <w:rFonts w:hint="eastAsia"/>
          <w:color w:val="auto"/>
          <w:sz w:val="24"/>
          <w:lang w:val="en-US" w:eastAsia="zh-CN"/>
        </w:rPr>
        <w:t>正源大力引进和采购各类废气处理设施，包括冷镦废气处理设施、热处理废气处理设施以及表面处理废气净化处理设施，确保各废气排放符合环保要求，同时也大大改善了厂内作业环境，也改善了大气污染。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color w:val="auto"/>
          <w:lang w:eastAsia="zh-CN"/>
        </w:rPr>
      </w:pPr>
      <w:r>
        <w:rPr>
          <w:rFonts w:hint="eastAsia" w:eastAsia="宋体"/>
          <w:color w:val="auto"/>
          <w:lang w:eastAsia="zh-CN"/>
        </w:rPr>
        <w:drawing>
          <wp:inline distT="0" distB="0" distL="114300" distR="114300">
            <wp:extent cx="5266690" cy="2369820"/>
            <wp:effectExtent l="0" t="0" r="10160" b="11430"/>
            <wp:docPr id="4" name="图片 4" descr="微信图片_2020100615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006153132"/>
                    <pic:cNvPicPr>
                      <a:picLocks noChangeAspect="1"/>
                    </pic:cNvPicPr>
                  </pic:nvPicPr>
                  <pic:blipFill>
                    <a:blip r:embed="rId16"/>
                    <a:stretch>
                      <a:fillRect/>
                    </a:stretch>
                  </pic:blipFill>
                  <pic:spPr>
                    <a:xfrm>
                      <a:off x="0" y="0"/>
                      <a:ext cx="5266690" cy="23698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color w:val="auto"/>
          <w:sz w:val="24"/>
          <w:lang w:val="en-US" w:eastAsia="zh-CN"/>
        </w:rPr>
      </w:pPr>
      <w:bookmarkStart w:id="26" w:name="_Toc30305_WPSOffice_Level2"/>
      <w:r>
        <w:rPr>
          <w:rFonts w:hint="eastAsia"/>
          <w:color w:val="auto"/>
          <w:sz w:val="21"/>
          <w:szCs w:val="21"/>
          <w:lang w:eastAsia="zh-CN"/>
        </w:rPr>
        <w:t>图</w:t>
      </w:r>
      <w:bookmarkEnd w:id="26"/>
      <w:r>
        <w:rPr>
          <w:rFonts w:hint="eastAsia"/>
          <w:color w:val="auto"/>
          <w:sz w:val="21"/>
          <w:szCs w:val="21"/>
          <w:lang w:val="en-US" w:eastAsia="zh-CN"/>
        </w:rPr>
        <w:t xml:space="preserve">5   </w:t>
      </w:r>
      <w:r>
        <w:rPr>
          <w:rFonts w:hint="eastAsia"/>
          <w:color w:val="auto"/>
          <w:sz w:val="24"/>
          <w:lang w:val="en-US" w:eastAsia="zh-CN"/>
        </w:rPr>
        <w:t>热处理废气处理设施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olor w:val="auto"/>
          <w:lang w:val="en-US" w:eastAsia="zh-CN"/>
        </w:rPr>
      </w:pPr>
      <w:r>
        <w:rPr>
          <w:rFonts w:hint="eastAsia"/>
          <w:color w:val="auto"/>
          <w:sz w:val="24"/>
          <w:lang w:eastAsia="zh-CN"/>
        </w:rPr>
        <w:t>正源除了努力做好本公司的环境保护事业外，也积极和其他企业一同提高环保意识，积极响应加入舟山市普陀区企业家环境保护联谊会，通过这个平台一起加强企业与政府、企业与企业之间互相交流、沟通的频次，帮助企业解决环保问题上遇到的疑难杂症，一起学习环保等法律法规，共同进步，砥砺前行，为普陀区环保文化宣传写下浓墨重彩的一笔。</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ascii="Times New Roman" w:hAnsi="Times New Roman" w:eastAsia="黑体" w:cstheme="minorBidi"/>
          <w:b/>
          <w:bCs/>
          <w:color w:val="auto"/>
          <w:kern w:val="44"/>
          <w:sz w:val="24"/>
          <w:szCs w:val="44"/>
          <w:lang w:val="en-US" w:eastAsia="zh-CN" w:bidi="ar-SA"/>
        </w:rPr>
      </w:pPr>
      <w:bookmarkStart w:id="27" w:name="_Toc12687"/>
      <w:r>
        <w:rPr>
          <w:rFonts w:hint="eastAsia" w:ascii="Times New Roman" w:hAnsi="Times New Roman" w:eastAsia="黑体" w:cstheme="minorBidi"/>
          <w:b/>
          <w:bCs/>
          <w:color w:val="auto"/>
          <w:kern w:val="44"/>
          <w:sz w:val="24"/>
          <w:szCs w:val="44"/>
          <w:lang w:val="en-US" w:eastAsia="zh-CN" w:bidi="ar-SA"/>
        </w:rPr>
        <w:t>三、积极节能减排</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1、设施改造、节能降耗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cs="Times New Roman" w:eastAsiaTheme="minorEastAsia"/>
          <w:b w:val="0"/>
          <w:bCs w:val="0"/>
          <w:color w:val="auto"/>
          <w:sz w:val="24"/>
          <w:highlight w:val="none"/>
          <w:lang w:val="en-US" w:eastAsia="zh-CN"/>
        </w:rPr>
      </w:pPr>
      <w:r>
        <w:rPr>
          <w:rFonts w:hint="eastAsia" w:cs="Times New Roman" w:eastAsiaTheme="minorEastAsia"/>
          <w:b w:val="0"/>
          <w:bCs w:val="0"/>
          <w:color w:val="auto"/>
          <w:sz w:val="24"/>
          <w:highlight w:val="none"/>
          <w:lang w:val="en-US" w:eastAsia="zh-CN"/>
        </w:rPr>
        <w:t>1）倒角机改造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科技</w:t>
      </w:r>
      <w:r>
        <w:rPr>
          <w:rFonts w:hint="eastAsia" w:cs="Times New Roman" w:eastAsiaTheme="minorEastAsia"/>
          <w:color w:val="auto"/>
          <w:sz w:val="24"/>
          <w:highlight w:val="none"/>
          <w:lang w:val="en-US" w:eastAsia="zh-CN"/>
        </w:rPr>
        <w:t>工作者</w:t>
      </w:r>
      <w:r>
        <w:rPr>
          <w:rFonts w:hint="eastAsia" w:ascii="Times New Roman" w:hAnsi="Times New Roman" w:cs="Times New Roman" w:eastAsiaTheme="minorEastAsia"/>
          <w:color w:val="auto"/>
          <w:sz w:val="24"/>
          <w:highlight w:val="none"/>
          <w:lang w:val="en-US" w:eastAsia="zh-CN"/>
        </w:rPr>
        <w:t>针对</w:t>
      </w:r>
      <w:r>
        <w:rPr>
          <w:rFonts w:hint="eastAsia" w:cs="Times New Roman" w:eastAsiaTheme="minorEastAsia"/>
          <w:color w:val="auto"/>
          <w:sz w:val="24"/>
          <w:highlight w:val="none"/>
          <w:lang w:val="en-US" w:eastAsia="zh-CN"/>
        </w:rPr>
        <w:t>产品倒角效率低下且劳动强度大</w:t>
      </w:r>
      <w:r>
        <w:rPr>
          <w:rFonts w:hint="eastAsia" w:ascii="Times New Roman" w:hAnsi="Times New Roman" w:cs="Times New Roman" w:eastAsiaTheme="minorEastAsia"/>
          <w:color w:val="auto"/>
          <w:sz w:val="24"/>
          <w:highlight w:val="none"/>
          <w:lang w:val="en-US" w:eastAsia="zh-CN"/>
        </w:rPr>
        <w:t>等问题，</w:t>
      </w:r>
      <w:r>
        <w:rPr>
          <w:rFonts w:hint="eastAsia" w:cs="Times New Roman" w:eastAsiaTheme="minorEastAsia"/>
          <w:color w:val="auto"/>
          <w:sz w:val="24"/>
          <w:highlight w:val="none"/>
          <w:lang w:val="en-US" w:eastAsia="zh-CN"/>
        </w:rPr>
        <w:t>对倒角机进行改造</w:t>
      </w:r>
      <w:r>
        <w:rPr>
          <w:rFonts w:hint="eastAsia" w:ascii="Times New Roman" w:hAnsi="Times New Roman" w:cs="Times New Roman" w:eastAsiaTheme="minorEastAsia"/>
          <w:color w:val="auto"/>
          <w:sz w:val="24"/>
          <w:highlight w:val="none"/>
          <w:lang w:val="en-US" w:eastAsia="zh-CN"/>
        </w:rPr>
        <w:t>，</w:t>
      </w:r>
      <w:r>
        <w:rPr>
          <w:rFonts w:hint="eastAsia" w:cs="Times New Roman" w:eastAsiaTheme="minorEastAsia"/>
          <w:color w:val="auto"/>
          <w:sz w:val="24"/>
          <w:highlight w:val="none"/>
          <w:lang w:val="en-US" w:eastAsia="zh-CN"/>
        </w:rPr>
        <w:t>通过传感器传输、定位装置，设计并加工V型槽，研制出一套自动上下料装置，即：人工将工件摆放在V型槽上，传感器检测到有料会自动运料，自动定位，自动夹紧，主轴自动进刀切削，进刀过程中缓冲器会起到阻尼的作用，防止进刀过快而撞刀，当切削达到设定的尺寸时，主轴自动退回原位，上压紧块自动退回，V型槽板抬起，把工件放在下料架上，工件会自动滑落至料箱，同时下一工件又被送到切削位置，机床重复上述循环动作，以上实现了自动化生产，这大大地提高了生产效率；与改造前相比，每件产品加工时需要人工送料，再人工出料，大幅度降低员工劳动强度</w:t>
      </w:r>
      <w:r>
        <w:rPr>
          <w:rFonts w:hint="eastAsia" w:ascii="Times New Roman" w:hAnsi="Times New Roman" w:cs="Times New Roman" w:eastAsiaTheme="minorEastAsia"/>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drawing>
          <wp:inline distT="0" distB="0" distL="114300" distR="114300">
            <wp:extent cx="2614295" cy="3486150"/>
            <wp:effectExtent l="0" t="0" r="14605" b="0"/>
            <wp:docPr id="11" name="图片 11" descr="IMG_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4235"/>
                    <pic:cNvPicPr>
                      <a:picLocks noChangeAspect="1"/>
                    </pic:cNvPicPr>
                  </pic:nvPicPr>
                  <pic:blipFill>
                    <a:blip r:embed="rId17"/>
                    <a:stretch>
                      <a:fillRect/>
                    </a:stretch>
                  </pic:blipFill>
                  <pic:spPr>
                    <a:xfrm>
                      <a:off x="0" y="0"/>
                      <a:ext cx="2614295" cy="3486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cs="Times New Roman" w:eastAsiaTheme="minorEastAsia"/>
          <w:color w:val="auto"/>
          <w:sz w:val="24"/>
          <w:highlight w:val="none"/>
          <w:lang w:val="en-US" w:eastAsia="zh-CN"/>
        </w:rPr>
      </w:pPr>
      <w:r>
        <w:rPr>
          <w:rFonts w:hint="eastAsia" w:eastAsia="宋体" w:cs="Times New Roman"/>
          <w:color w:val="auto"/>
          <w:sz w:val="24"/>
          <w:szCs w:val="24"/>
          <w:highlight w:val="none"/>
          <w:lang w:val="en-US" w:eastAsia="zh-CN"/>
        </w:rPr>
        <w:t>图</w:t>
      </w:r>
      <w:r>
        <w:rPr>
          <w:rFonts w:hint="eastAsia" w:cs="Times New Roman"/>
          <w:color w:val="auto"/>
          <w:sz w:val="24"/>
          <w:szCs w:val="24"/>
          <w:highlight w:val="none"/>
          <w:lang w:val="en-US" w:eastAsia="zh-CN"/>
        </w:rPr>
        <w:t xml:space="preserve">6 </w:t>
      </w:r>
      <w:r>
        <w:rPr>
          <w:rFonts w:hint="eastAsia"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倒角机改造后照片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cs="Times New Roman" w:eastAsiaTheme="minorEastAsia"/>
          <w:b w:val="0"/>
          <w:bCs w:val="0"/>
          <w:color w:val="auto"/>
          <w:sz w:val="24"/>
          <w:highlight w:val="none"/>
          <w:lang w:val="en-US" w:eastAsia="zh-CN"/>
        </w:rPr>
      </w:pPr>
      <w:r>
        <w:rPr>
          <w:rFonts w:hint="eastAsia" w:cs="Times New Roman" w:eastAsiaTheme="minorEastAsia"/>
          <w:b w:val="0"/>
          <w:bCs w:val="0"/>
          <w:color w:val="auto"/>
          <w:sz w:val="24"/>
          <w:highlight w:val="none"/>
          <w:lang w:val="en-US" w:eastAsia="zh-CN"/>
        </w:rPr>
        <w:t>2）机械手上下料全自动打字成型机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原打字工序，采用传统制造方式生产产品，存在诸多不足：生产效率低、产品质量不稳定、维修待机成本高，生产疲劳强度大。我司科技人员根据长期累积的生产工艺、技术经验开展了优化工艺、规范操作及质量跟踪等全套流程摸索的攻关，终于研制成功，并取得以下成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A、产品生产效率提升57.6%；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B、可实现一人多机的生产作业；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color w:val="auto"/>
        </w:rPr>
      </w:pPr>
      <w:r>
        <w:rPr>
          <w:rFonts w:hint="eastAsia" w:cs="Times New Roman" w:eastAsiaTheme="minorEastAsia"/>
          <w:color w:val="auto"/>
          <w:sz w:val="24"/>
          <w:highlight w:val="none"/>
          <w:lang w:val="en-US" w:eastAsia="zh-CN"/>
        </w:rPr>
        <w:t>C、产品标识品控更稳定。</w:t>
      </w:r>
    </w:p>
    <w:p>
      <w:pPr>
        <w:spacing w:line="240" w:lineRule="auto"/>
        <w:ind w:left="0" w:leftChars="0" w:firstLine="0" w:firstLineChars="0"/>
        <w:jc w:val="center"/>
        <w:rPr>
          <w:color w:val="auto"/>
          <w:sz w:val="24"/>
          <w:szCs w:val="24"/>
        </w:rPr>
      </w:pPr>
      <w:r>
        <w:rPr>
          <w:color w:val="auto"/>
        </w:rPr>
        <w:drawing>
          <wp:inline distT="0" distB="0" distL="114300" distR="114300">
            <wp:extent cx="1834515" cy="1887855"/>
            <wp:effectExtent l="0" t="0" r="13335" b="17145"/>
            <wp:docPr id="15" name="图片 0" descr="微信图片_2019032515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0" descr="微信图片_20190325153841.jpg"/>
                    <pic:cNvPicPr>
                      <a:picLocks noChangeAspect="1"/>
                    </pic:cNvPicPr>
                  </pic:nvPicPr>
                  <pic:blipFill>
                    <a:blip r:embed="rId18" cstate="print"/>
                    <a:stretch>
                      <a:fillRect/>
                    </a:stretch>
                  </pic:blipFill>
                  <pic:spPr>
                    <a:xfrm>
                      <a:off x="0" y="0"/>
                      <a:ext cx="1834515" cy="1887855"/>
                    </a:xfrm>
                    <a:prstGeom prst="rect">
                      <a:avLst/>
                    </a:prstGeom>
                  </pic:spPr>
                </pic:pic>
              </a:graphicData>
            </a:graphic>
          </wp:inline>
        </w:drawing>
      </w:r>
      <w:r>
        <w:rPr>
          <w:rFonts w:hint="eastAsia"/>
          <w:color w:val="auto"/>
          <w:lang w:val="en-US" w:eastAsia="zh-CN"/>
        </w:rPr>
        <w:t xml:space="preserve"> </w:t>
      </w:r>
      <w:r>
        <w:rPr>
          <w:color w:val="auto"/>
          <w:sz w:val="24"/>
          <w:szCs w:val="24"/>
        </w:rPr>
        <w:drawing>
          <wp:inline distT="0" distB="0" distL="114300" distR="114300">
            <wp:extent cx="2851150" cy="1830070"/>
            <wp:effectExtent l="0" t="0" r="6350" b="17780"/>
            <wp:docPr id="16" name="图片 1" descr="微信图片_2019032515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微信图片_20190325155338.jpg"/>
                    <pic:cNvPicPr>
                      <a:picLocks noChangeAspect="1"/>
                    </pic:cNvPicPr>
                  </pic:nvPicPr>
                  <pic:blipFill>
                    <a:blip r:embed="rId19"/>
                    <a:srcRect t="52096"/>
                    <a:stretch>
                      <a:fillRect/>
                    </a:stretch>
                  </pic:blipFill>
                  <pic:spPr>
                    <a:xfrm>
                      <a:off x="0" y="0"/>
                      <a:ext cx="2851150" cy="1830070"/>
                    </a:xfrm>
                    <a:prstGeom prst="rect">
                      <a:avLst/>
                    </a:prstGeom>
                  </pic:spPr>
                </pic:pic>
              </a:graphicData>
            </a:graphic>
          </wp:inline>
        </w:drawing>
      </w:r>
    </w:p>
    <w:p>
      <w:pPr>
        <w:spacing w:line="240" w:lineRule="auto"/>
        <w:ind w:left="0" w:leftChars="0" w:firstLine="0" w:firstLineChars="0"/>
        <w:jc w:val="left"/>
        <w:rPr>
          <w:rFonts w:hint="eastAsia"/>
          <w:color w:val="auto"/>
        </w:rPr>
      </w:pPr>
      <w:r>
        <w:rPr>
          <w:rFonts w:hint="eastAsia"/>
          <w:color w:val="auto"/>
          <w:lang w:val="en-US" w:eastAsia="zh-CN"/>
        </w:rPr>
        <w:t xml:space="preserve">        </w:t>
      </w:r>
      <w:r>
        <w:rPr>
          <w:rFonts w:hint="eastAsia"/>
          <w:color w:val="auto"/>
        </w:rPr>
        <w:drawing>
          <wp:inline distT="0" distB="0" distL="114300" distR="114300">
            <wp:extent cx="1531620" cy="1668145"/>
            <wp:effectExtent l="0" t="0" r="11430" b="8255"/>
            <wp:docPr id="30" name="图片 3" descr="微信图片_2019032516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微信图片_20190325161605.jpg"/>
                    <pic:cNvPicPr>
                      <a:picLocks noChangeAspect="1"/>
                    </pic:cNvPicPr>
                  </pic:nvPicPr>
                  <pic:blipFill>
                    <a:blip r:embed="rId20" cstate="print"/>
                    <a:srcRect l="22386" t="17266" r="30183" b="13669"/>
                    <a:stretch>
                      <a:fillRect/>
                    </a:stretch>
                  </pic:blipFill>
                  <pic:spPr>
                    <a:xfrm rot="10800000">
                      <a:off x="0" y="0"/>
                      <a:ext cx="1531620" cy="1668145"/>
                    </a:xfrm>
                    <a:prstGeom prst="rect">
                      <a:avLst/>
                    </a:prstGeom>
                  </pic:spPr>
                </pic:pic>
              </a:graphicData>
            </a:graphic>
          </wp:inline>
        </w:drawing>
      </w:r>
      <w:r>
        <w:rPr>
          <w:rFonts w:hint="eastAsia"/>
          <w:color w:val="auto"/>
          <w:lang w:val="en-US" w:eastAsia="zh-CN"/>
        </w:rPr>
        <w:t xml:space="preserve">                 </w:t>
      </w:r>
      <w:r>
        <w:rPr>
          <w:rFonts w:hint="eastAsia"/>
          <w:color w:val="auto"/>
        </w:rPr>
        <w:drawing>
          <wp:inline distT="0" distB="0" distL="114300" distR="114300">
            <wp:extent cx="1757045" cy="1689735"/>
            <wp:effectExtent l="0" t="0" r="14605" b="5715"/>
            <wp:docPr id="31" name="图片 4" descr="微信图片_2019032516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微信图片_20190325161612.jpg"/>
                    <pic:cNvPicPr>
                      <a:picLocks noChangeAspect="1"/>
                    </pic:cNvPicPr>
                  </pic:nvPicPr>
                  <pic:blipFill>
                    <a:blip r:embed="rId21" cstate="print"/>
                    <a:srcRect l="17834" t="27752" r="21656" b="28708"/>
                    <a:stretch>
                      <a:fillRect/>
                    </a:stretch>
                  </pic:blipFill>
                  <pic:spPr>
                    <a:xfrm>
                      <a:off x="0" y="0"/>
                      <a:ext cx="1757045" cy="1689735"/>
                    </a:xfrm>
                    <a:prstGeom prst="rect">
                      <a:avLst/>
                    </a:prstGeom>
                  </pic:spPr>
                </pic:pic>
              </a:graphicData>
            </a:graphic>
          </wp:inline>
        </w:drawing>
      </w:r>
    </w:p>
    <w:p>
      <w:pPr>
        <w:jc w:val="center"/>
        <w:rPr>
          <w:color w:val="auto"/>
        </w:rPr>
      </w:pPr>
      <w:r>
        <w:rPr>
          <w:rFonts w:hint="eastAsia"/>
          <w:color w:val="auto"/>
          <w:sz w:val="24"/>
          <w:szCs w:val="24"/>
          <w:lang w:eastAsia="zh-CN"/>
        </w:rPr>
        <w:t>图</w:t>
      </w:r>
      <w:r>
        <w:rPr>
          <w:rFonts w:hint="eastAsia"/>
          <w:color w:val="auto"/>
          <w:sz w:val="24"/>
          <w:szCs w:val="24"/>
          <w:lang w:val="en-US" w:eastAsia="zh-CN"/>
        </w:rPr>
        <w:t>7   改进前后对比</w:t>
      </w:r>
      <w:r>
        <w:rPr>
          <w:rFonts w:hint="eastAsia"/>
          <w:color w:val="auto"/>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cs="Times New Roman" w:eastAsiaTheme="minorEastAsia"/>
          <w:b w:val="0"/>
          <w:bCs w:val="0"/>
          <w:color w:val="auto"/>
          <w:sz w:val="24"/>
          <w:highlight w:val="none"/>
          <w:lang w:val="en-US" w:eastAsia="zh-CN"/>
        </w:rPr>
      </w:pPr>
      <w:r>
        <w:rPr>
          <w:rFonts w:hint="eastAsia" w:cs="Times New Roman" w:eastAsiaTheme="minorEastAsia"/>
          <w:b w:val="0"/>
          <w:bCs w:val="0"/>
          <w:color w:val="auto"/>
          <w:sz w:val="24"/>
          <w:highlight w:val="none"/>
          <w:lang w:val="en-US" w:eastAsia="zh-CN"/>
        </w:rPr>
        <w:t>3）达克罗生产线改造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因达克罗1</w:t>
      </w:r>
      <w:r>
        <w:rPr>
          <w:rFonts w:hint="eastAsia" w:cs="Times New Roman" w:eastAsiaTheme="minorEastAsia"/>
          <w:color w:val="auto"/>
          <w:sz w:val="24"/>
          <w:highlight w:val="none"/>
          <w:lang w:val="en-US" w:eastAsia="zh-CN"/>
        </w:rPr>
        <w:t>号线</w:t>
      </w:r>
      <w:r>
        <w:rPr>
          <w:rFonts w:hint="eastAsia" w:ascii="Times New Roman" w:hAnsi="Times New Roman" w:cs="Times New Roman" w:eastAsiaTheme="minorEastAsia"/>
          <w:color w:val="auto"/>
          <w:sz w:val="24"/>
          <w:highlight w:val="none"/>
          <w:lang w:val="en-US" w:eastAsia="zh-CN"/>
        </w:rPr>
        <w:t>生产线的烧结炉使用时间较长，</w:t>
      </w:r>
      <w:r>
        <w:rPr>
          <w:rFonts w:hint="eastAsia" w:cs="Times New Roman" w:eastAsiaTheme="minorEastAsia"/>
          <w:color w:val="auto"/>
          <w:sz w:val="24"/>
          <w:highlight w:val="none"/>
          <w:lang w:val="en-US" w:eastAsia="zh-CN"/>
        </w:rPr>
        <w:t>加工出来的产品质量不稳定，为此科技工作者对此进行讨论、研究，最后将该烧结炉进行改造，并委托常州智众进行炉体加工，主要改造如下：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炉体要求采用夹心面包式结构，利用优质硅酸铝保温棉，保温层内表面采用不锈钢板接插拼装，外壁板采用Q235冷轧板拼装，保证炉体壁厚250mm，确保炉体外层在炉体升温2小时后，温度不大于环境温度5℃，并且内外壁保证了热膨胀系数，减少了热桥。</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炉门设置成可调节开启度，可以减少炉子热损失，且适应一定尺寸范围不同工件进出。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强冷系统建议增加冷却排风机、冷却排风扇等设施，对烧结炉出来的工件进行强制冷却，使下料处零件温度不大于环境温度5℃，这样便于卸料，利于工件快速周转。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cs="Times New Roman" w:eastAsiaTheme="minorEastAsia"/>
          <w:color w:val="auto"/>
          <w:sz w:val="24"/>
          <w:highlight w:val="none"/>
          <w:lang w:val="en-US" w:eastAsia="zh-CN"/>
        </w:rPr>
      </w:pPr>
      <w:r>
        <w:rPr>
          <w:rFonts w:hint="default" w:cs="Times New Roman" w:eastAsiaTheme="minorEastAsia"/>
          <w:color w:val="auto"/>
          <w:sz w:val="24"/>
          <w:highlight w:val="none"/>
          <w:lang w:val="en-US" w:eastAsia="zh-CN"/>
        </w:rPr>
        <w:drawing>
          <wp:inline distT="0" distB="0" distL="114300" distR="114300">
            <wp:extent cx="3141980" cy="2357755"/>
            <wp:effectExtent l="0" t="0" r="1270" b="4445"/>
            <wp:docPr id="32" name="图片 32" descr="IMG_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4247"/>
                    <pic:cNvPicPr>
                      <a:picLocks noChangeAspect="1"/>
                    </pic:cNvPicPr>
                  </pic:nvPicPr>
                  <pic:blipFill>
                    <a:blip r:embed="rId22"/>
                    <a:stretch>
                      <a:fillRect/>
                    </a:stretch>
                  </pic:blipFill>
                  <pic:spPr>
                    <a:xfrm>
                      <a:off x="0" y="0"/>
                      <a:ext cx="3141980" cy="23577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color w:val="auto"/>
          <w:lang w:val="en-US" w:eastAsia="zh-CN"/>
        </w:rPr>
      </w:pPr>
      <w:r>
        <w:rPr>
          <w:rFonts w:hint="eastAsia" w:cs="Times New Roman" w:eastAsiaTheme="minorEastAsia"/>
          <w:color w:val="auto"/>
          <w:sz w:val="24"/>
          <w:highlight w:val="none"/>
          <w:lang w:val="en-US" w:eastAsia="zh-CN"/>
        </w:rPr>
        <w:t>图8   烧结炉改造照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2、提高员工环保意识、积极共筑碧水蓝天</w:t>
      </w:r>
    </w:p>
    <w:p>
      <w:pPr>
        <w:pStyle w:val="2"/>
        <w:keepNext w:val="0"/>
        <w:keepLines w:val="0"/>
        <w:pageBreakBefore w:val="0"/>
        <w:widowControl/>
        <w:kinsoku/>
        <w:wordWrap/>
        <w:overflowPunct/>
        <w:topLinePunct w:val="0"/>
        <w:autoSpaceDE/>
        <w:autoSpaceDN/>
        <w:bidi w:val="0"/>
        <w:adjustRightInd w:val="0"/>
        <w:snapToGrid w:val="0"/>
        <w:ind w:left="0" w:leftChars="0"/>
        <w:textAlignment w:val="auto"/>
        <w:rPr>
          <w:rFonts w:hint="default" w:ascii="宋体" w:hAnsi="宋体" w:cs="宋体"/>
          <w:color w:val="auto"/>
          <w:sz w:val="24"/>
          <w:szCs w:val="24"/>
          <w:lang w:val="en-US" w:eastAsia="zh-CN"/>
        </w:rPr>
      </w:pPr>
      <w:r>
        <w:rPr>
          <w:rFonts w:hint="eastAsia"/>
          <w:color w:val="auto"/>
          <w:sz w:val="24"/>
          <w:lang w:val="en-US" w:eastAsia="zh-CN"/>
        </w:rPr>
        <w:t>为了配合全市创卫活动，我司加大环境整治力度，坚持利用3人的专业保洁员队伍全天打扫公司环境卫生，并定期组织全体干部职工对公司及周边环境进行大规模清理整治，清除卫生死角。</w:t>
      </w:r>
    </w:p>
    <w:p>
      <w:pPr>
        <w:pStyle w:val="2"/>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rPr>
          <w:rFonts w:hint="eastAsia"/>
          <w:color w:val="auto"/>
          <w:sz w:val="24"/>
          <w:lang w:val="en-US" w:eastAsia="zh-CN"/>
        </w:rPr>
      </w:pPr>
      <w:r>
        <w:rPr>
          <w:rFonts w:hint="eastAsia"/>
          <w:color w:val="auto"/>
          <w:sz w:val="24"/>
          <w:lang w:val="en-US" w:eastAsia="zh-CN"/>
        </w:rPr>
        <w:t>正源正加大美化绿化工作力度，力争做到厂区四季有花、四季常青，并及时维护各种基础设施，为员工创造舒适、优雅的工作生活环境。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3、广泛开展科普教育活动、促进全民科学素质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宋体" w:hAnsi="宋体" w:cs="宋体"/>
          <w:sz w:val="24"/>
          <w:szCs w:val="24"/>
          <w:lang w:eastAsia="zh-CN"/>
        </w:rPr>
      </w:pPr>
      <w:r>
        <w:rPr>
          <w:rFonts w:hint="eastAsia" w:cs="Times New Roman" w:eastAsiaTheme="minorEastAsia"/>
          <w:sz w:val="24"/>
          <w:highlight w:val="none"/>
          <w:lang w:val="en-US" w:eastAsia="zh-CN"/>
        </w:rPr>
        <w:t>2019年9月，</w:t>
      </w:r>
      <w:r>
        <w:rPr>
          <w:rFonts w:hint="eastAsia" w:ascii="Times New Roman" w:hAnsi="Times New Roman" w:cs="Times New Roman" w:eastAsiaTheme="minorEastAsia"/>
          <w:sz w:val="24"/>
          <w:highlight w:val="none"/>
          <w:lang w:val="en-US" w:eastAsia="zh-CN"/>
        </w:rPr>
        <w:t>公司科协</w:t>
      </w:r>
      <w:r>
        <w:rPr>
          <w:rFonts w:hint="eastAsia" w:cs="Times New Roman" w:eastAsiaTheme="minorEastAsia"/>
          <w:sz w:val="24"/>
          <w:highlight w:val="none"/>
          <w:lang w:val="en-US" w:eastAsia="zh-CN"/>
        </w:rPr>
        <w:t>积极参与区科协组织的为期一个月的</w:t>
      </w:r>
      <w:r>
        <w:rPr>
          <w:rFonts w:ascii="宋体" w:hAnsi="宋体" w:eastAsia="宋体" w:cs="宋体"/>
          <w:sz w:val="24"/>
          <w:szCs w:val="24"/>
        </w:rPr>
        <w:t>普陀区第十七届科普节暨2019年全国科普日系列活动</w:t>
      </w:r>
      <w:r>
        <w:rPr>
          <w:rFonts w:hint="eastAsia" w:ascii="宋体" w:hAnsi="宋体" w:cs="宋体"/>
          <w:sz w:val="24"/>
          <w:szCs w:val="24"/>
          <w:lang w:eastAsia="zh-CN"/>
        </w:rPr>
        <w:t>中，积极参与，与区科协一起努力让市民近距离感受科学、参与科学、亲近科学，为推动全民科学素质全面提升出一份绵薄之力。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r>
        <w:rPr>
          <w:rFonts w:hint="eastAsia" w:ascii="宋体" w:hAnsi="宋体" w:cs="宋体"/>
          <w:sz w:val="24"/>
          <w:szCs w:val="24"/>
          <w:lang w:eastAsia="zh-CN"/>
        </w:rPr>
        <w:drawing>
          <wp:inline distT="0" distB="0" distL="114300" distR="114300">
            <wp:extent cx="2562225" cy="1922780"/>
            <wp:effectExtent l="0" t="0" r="9525" b="1270"/>
            <wp:docPr id="22" name="图片 22" descr="d2d65080a3ed8f8f05896c122ce8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2d65080a3ed8f8f05896c122ce89f9"/>
                    <pic:cNvPicPr>
                      <a:picLocks noChangeAspect="1"/>
                    </pic:cNvPicPr>
                  </pic:nvPicPr>
                  <pic:blipFill>
                    <a:blip r:embed="rId23"/>
                    <a:stretch>
                      <a:fillRect/>
                    </a:stretch>
                  </pic:blipFill>
                  <pic:spPr>
                    <a:xfrm>
                      <a:off x="0" y="0"/>
                      <a:ext cx="2562225" cy="1922780"/>
                    </a:xfrm>
                    <a:prstGeom prst="rect">
                      <a:avLst/>
                    </a:prstGeom>
                  </pic:spPr>
                </pic:pic>
              </a:graphicData>
            </a:graphic>
          </wp:inline>
        </w:drawing>
      </w:r>
      <w:r>
        <w:rPr>
          <w:rFonts w:hint="eastAsia" w:ascii="宋体" w:hAnsi="宋体" w:cs="宋体"/>
          <w:sz w:val="24"/>
          <w:szCs w:val="24"/>
          <w:lang w:val="en-US" w:eastAsia="zh-CN"/>
        </w:rPr>
        <w:t xml:space="preserve"> </w:t>
      </w:r>
      <w:r>
        <w:rPr>
          <w:rFonts w:hint="eastAsia" w:ascii="宋体" w:hAnsi="宋体" w:cs="宋体"/>
          <w:sz w:val="24"/>
          <w:szCs w:val="24"/>
          <w:lang w:eastAsia="zh-CN"/>
        </w:rPr>
        <w:drawing>
          <wp:inline distT="0" distB="0" distL="114300" distR="114300">
            <wp:extent cx="2552065" cy="1915160"/>
            <wp:effectExtent l="0" t="0" r="635" b="8890"/>
            <wp:docPr id="23" name="图片 23" descr="b36393d32ee487336248a44050e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36393d32ee487336248a44050ee248"/>
                    <pic:cNvPicPr>
                      <a:picLocks noChangeAspect="1"/>
                    </pic:cNvPicPr>
                  </pic:nvPicPr>
                  <pic:blipFill>
                    <a:blip r:embed="rId24"/>
                    <a:stretch>
                      <a:fillRect/>
                    </a:stretch>
                  </pic:blipFill>
                  <pic:spPr>
                    <a:xfrm>
                      <a:off x="0" y="0"/>
                      <a:ext cx="2552065" cy="19151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cs="宋体"/>
          <w:sz w:val="24"/>
          <w:szCs w:val="24"/>
          <w:lang w:val="en-US" w:eastAsia="zh-CN"/>
        </w:rPr>
      </w:pPr>
      <w:r>
        <w:rPr>
          <w:rFonts w:hint="eastAsia" w:cs="Times New Roman" w:eastAsiaTheme="minorEastAsia"/>
          <w:sz w:val="24"/>
          <w:highlight w:val="none"/>
          <w:lang w:val="en-US" w:eastAsia="zh-CN"/>
        </w:rPr>
        <w:t>图9 第十七届科普节现场</w:t>
      </w:r>
    </w:p>
    <w:p>
      <w:pPr>
        <w:pStyle w:val="4"/>
        <w:numPr>
          <w:ilvl w:val="0"/>
          <w:numId w:val="0"/>
        </w:numPr>
        <w:ind w:leftChars="0"/>
        <w:jc w:val="center"/>
        <w:rPr>
          <w:rFonts w:hint="eastAsia"/>
          <w:color w:val="auto"/>
          <w:sz w:val="30"/>
          <w:szCs w:val="30"/>
          <w:lang w:eastAsia="zh-CN"/>
        </w:rPr>
      </w:pPr>
      <w:bookmarkStart w:id="28" w:name="_Toc20927"/>
      <w:r>
        <w:rPr>
          <w:rFonts w:hint="eastAsia"/>
          <w:color w:val="auto"/>
          <w:sz w:val="30"/>
          <w:szCs w:val="30"/>
          <w:lang w:eastAsia="zh-CN"/>
        </w:rPr>
        <w:t>第四章</w:t>
      </w:r>
      <w:r>
        <w:rPr>
          <w:rFonts w:hint="eastAsia"/>
          <w:color w:val="auto"/>
          <w:sz w:val="30"/>
          <w:szCs w:val="30"/>
          <w:lang w:val="en-US" w:eastAsia="zh-CN"/>
        </w:rPr>
        <w:t xml:space="preserve">  </w:t>
      </w:r>
      <w:r>
        <w:rPr>
          <w:rFonts w:hint="eastAsia"/>
          <w:color w:val="auto"/>
          <w:sz w:val="30"/>
          <w:szCs w:val="30"/>
          <w:lang w:eastAsia="zh-CN"/>
        </w:rPr>
        <w:t>携手员工，共享发展</w:t>
      </w:r>
      <w:bookmarkEnd w:id="28"/>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color w:val="auto"/>
          <w:lang w:eastAsia="zh-CN"/>
        </w:rPr>
      </w:pPr>
      <w:r>
        <w:rPr>
          <w:rFonts w:hint="eastAsia"/>
          <w:color w:val="auto"/>
          <w:lang w:eastAsia="zh-CN"/>
        </w:rPr>
        <w:t>公司一直以来十分注重劳动用工、劳动合同管理、劳动保障、社会保险等各项工作，在认真贯彻落实国家政策，推动各项工作稳步向前的同时，通过扩大员工福利惠及范围，增加服务员工、造福员工等诸多活动，营造了新型和谐的劳动氛围和安全有保障的劳动环境，最大程度的确保了员工的合法权益。</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ascii="Times New Roman" w:hAnsi="Times New Roman" w:eastAsia="黑体" w:cstheme="minorBidi"/>
          <w:b/>
          <w:bCs/>
          <w:color w:val="auto"/>
          <w:kern w:val="44"/>
          <w:sz w:val="24"/>
          <w:szCs w:val="44"/>
          <w:lang w:val="en-US" w:eastAsia="zh-CN" w:bidi="ar-SA"/>
        </w:rPr>
      </w:pPr>
      <w:bookmarkStart w:id="29" w:name="_Toc25841"/>
      <w:r>
        <w:rPr>
          <w:rFonts w:hint="eastAsia" w:eastAsia="黑体" w:cstheme="minorBidi"/>
          <w:b/>
          <w:bCs/>
          <w:color w:val="auto"/>
          <w:kern w:val="44"/>
          <w:sz w:val="24"/>
          <w:szCs w:val="44"/>
          <w:lang w:val="en-US" w:eastAsia="zh-CN" w:bidi="ar-SA"/>
        </w:rPr>
        <w:t>一、</w:t>
      </w:r>
      <w:r>
        <w:rPr>
          <w:rFonts w:hint="eastAsia" w:ascii="Times New Roman" w:hAnsi="Times New Roman" w:eastAsia="黑体" w:cstheme="minorBidi"/>
          <w:b/>
          <w:bCs/>
          <w:color w:val="auto"/>
          <w:kern w:val="44"/>
          <w:sz w:val="24"/>
          <w:szCs w:val="44"/>
          <w:lang w:val="en-US" w:eastAsia="zh-CN" w:bidi="ar-SA"/>
        </w:rPr>
        <w:t>员工权益保障</w:t>
      </w:r>
      <w:bookmarkEnd w:id="29"/>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olor w:val="auto"/>
          <w:sz w:val="24"/>
          <w:szCs w:val="24"/>
        </w:rPr>
      </w:pPr>
      <w:r>
        <w:rPr>
          <w:rFonts w:hint="eastAsia" w:ascii="宋体" w:hAnsi="宋体"/>
          <w:color w:val="auto"/>
          <w:sz w:val="24"/>
          <w:szCs w:val="24"/>
        </w:rPr>
        <w:t xml:space="preserve">1、保障员工薪资权益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olor w:val="auto"/>
          <w:sz w:val="24"/>
          <w:szCs w:val="24"/>
        </w:rPr>
      </w:pPr>
      <w:r>
        <w:rPr>
          <w:rFonts w:hint="eastAsia" w:ascii="宋体" w:hAnsi="宋体"/>
          <w:color w:val="auto"/>
          <w:sz w:val="24"/>
          <w:szCs w:val="24"/>
        </w:rPr>
        <w:t xml:space="preserve">制定发布员工晋升管理制度、奖惩、绩效、薪酬、福利等与员工相关的制度、流程。每月按时发放工资，同时对行业内外薪资情况进行分析与对比，做好内部薪资水平的均衡性与外部的竞争性，建立工资集体协商机制、增长机制、年度调薪方案。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2、保障员工福利权益 </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_x0002_擧─..." w:hAnsi="宋体_x0002_擧─..." w:eastAsia="宋体_x0002_擧─..."/>
          <w:color w:val="auto"/>
          <w:sz w:val="24"/>
          <w:szCs w:val="24"/>
        </w:rPr>
      </w:pPr>
      <w:r>
        <w:rPr>
          <w:rFonts w:hint="eastAsia" w:ascii="宋体" w:hAnsi="宋体" w:eastAsia="宋体" w:cstheme="minorBidi"/>
          <w:color w:val="auto"/>
          <w:sz w:val="24"/>
          <w:szCs w:val="24"/>
          <w:lang w:val="en-US" w:eastAsia="zh-CN" w:bidi="ar-SA"/>
        </w:rPr>
        <w:t>正源以人为本，关怀员工，严格遵循《劳动法》、《工会法》等法律法规保障员工的合法权益。全面推行法定福利：养老、失业、医疗、工伤及生育五大社会保险，同时增设正源个性化福利，并不断推陈出新。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_x0002_擧─..." w:hAnsi="宋体_x0002_擧─..." w:eastAsia="宋体_x0002_擧─..."/>
          <w:color w:val="auto"/>
          <w:sz w:val="24"/>
          <w:szCs w:val="24"/>
        </w:rPr>
      </w:pPr>
      <w:r>
        <w:rPr>
          <w:rFonts w:hint="eastAsia" w:ascii="宋体_x0002_擧─..." w:hAnsi="宋体_x0002_擧─..." w:eastAsia="宋体_x0002_擧─..."/>
          <w:color w:val="auto"/>
          <w:sz w:val="24"/>
          <w:szCs w:val="24"/>
        </w:rPr>
        <w:t xml:space="preserve">3、保障员工参与权益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olor w:val="auto"/>
          <w:sz w:val="24"/>
          <w:szCs w:val="24"/>
        </w:rPr>
      </w:pPr>
      <w:r>
        <w:rPr>
          <w:rFonts w:hint="eastAsia" w:ascii="宋体" w:hAnsi="宋体"/>
          <w:color w:val="auto"/>
          <w:sz w:val="24"/>
          <w:szCs w:val="24"/>
          <w:lang w:eastAsia="zh-CN"/>
        </w:rPr>
        <w:t>正源</w:t>
      </w:r>
      <w:r>
        <w:rPr>
          <w:rFonts w:hint="eastAsia" w:ascii="宋体" w:hAnsi="宋体"/>
          <w:color w:val="auto"/>
          <w:sz w:val="24"/>
          <w:szCs w:val="24"/>
        </w:rPr>
        <w:t xml:space="preserve">依法建立健全了员工代表大会制度，设立工会等组织，尊重员工的知情权、参与权、表达权和监督权，切实维护员工各项合法权益。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olor w:val="auto"/>
          <w:sz w:val="24"/>
          <w:szCs w:val="24"/>
        </w:rPr>
      </w:pPr>
      <w:r>
        <w:rPr>
          <w:rFonts w:hint="eastAsia" w:ascii="宋体" w:hAnsi="宋体"/>
          <w:color w:val="auto"/>
          <w:sz w:val="24"/>
          <w:szCs w:val="24"/>
        </w:rPr>
        <w:t>(1）</w:t>
      </w:r>
      <w:r>
        <w:rPr>
          <w:rFonts w:hint="eastAsia" w:ascii="宋体" w:hAnsi="宋体"/>
          <w:color w:val="auto"/>
          <w:sz w:val="24"/>
          <w:szCs w:val="24"/>
          <w:lang w:eastAsia="zh-CN"/>
        </w:rPr>
        <w:t>正源</w:t>
      </w:r>
      <w:r>
        <w:rPr>
          <w:rFonts w:hint="eastAsia" w:ascii="宋体" w:hAnsi="宋体"/>
          <w:color w:val="auto"/>
          <w:sz w:val="24"/>
          <w:szCs w:val="24"/>
        </w:rPr>
        <w:t>坚持员工代表大会、厂务公开、突出平等协商、集体合同等企业民主管理制度，提升了员工与企业</w:t>
      </w:r>
      <w:r>
        <w:rPr>
          <w:rFonts w:hint="default" w:ascii="宋体" w:hAnsi="宋体"/>
          <w:color w:val="auto"/>
          <w:sz w:val="24"/>
          <w:szCs w:val="24"/>
        </w:rPr>
        <w:t>“</w:t>
      </w:r>
      <w:r>
        <w:rPr>
          <w:rFonts w:hint="eastAsia" w:ascii="宋体" w:hAnsi="宋体"/>
          <w:color w:val="auto"/>
          <w:sz w:val="24"/>
          <w:szCs w:val="24"/>
        </w:rPr>
        <w:t>荣辱与共</w:t>
      </w:r>
      <w:r>
        <w:rPr>
          <w:rFonts w:hint="default" w:ascii="宋体" w:hAnsi="宋体"/>
          <w:color w:val="auto"/>
          <w:sz w:val="24"/>
          <w:szCs w:val="24"/>
        </w:rPr>
        <w:t>”</w:t>
      </w:r>
      <w:r>
        <w:rPr>
          <w:rFonts w:hint="eastAsia" w:ascii="宋体" w:hAnsi="宋体"/>
          <w:color w:val="auto"/>
          <w:sz w:val="24"/>
          <w:szCs w:val="24"/>
        </w:rPr>
        <w:t xml:space="preserve">的主人翁精神。 </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_x0002_擧─..." w:hAnsi="宋体_x0002_擧─..." w:eastAsia="宋体_x0002_擧─..."/>
          <w:color w:val="auto"/>
          <w:sz w:val="24"/>
          <w:szCs w:val="24"/>
          <w:lang w:eastAsia="zh-CN"/>
        </w:rPr>
      </w:pPr>
      <w:r>
        <w:rPr>
          <w:rFonts w:hint="eastAsia" w:ascii="宋体" w:hAnsi="宋体"/>
          <w:color w:val="auto"/>
          <w:sz w:val="24"/>
          <w:szCs w:val="24"/>
        </w:rPr>
        <w:t>(2) 完善厂务公开，建立健全招投标制度。企业改制以后，</w:t>
      </w:r>
      <w:r>
        <w:rPr>
          <w:rFonts w:hint="eastAsia" w:ascii="宋体" w:hAnsi="宋体"/>
          <w:color w:val="auto"/>
          <w:sz w:val="24"/>
          <w:szCs w:val="24"/>
          <w:lang w:eastAsia="zh-CN"/>
        </w:rPr>
        <w:t>正源</w:t>
      </w:r>
      <w:r>
        <w:rPr>
          <w:rFonts w:hint="eastAsia" w:ascii="宋体" w:hAnsi="宋体"/>
          <w:color w:val="auto"/>
          <w:sz w:val="24"/>
          <w:szCs w:val="24"/>
        </w:rPr>
        <w:t>逐渐形成了招投标制度的个性与特色，</w:t>
      </w:r>
      <w:r>
        <w:rPr>
          <w:rFonts w:hint="eastAsia" w:ascii="宋体" w:hAnsi="宋体"/>
          <w:color w:val="auto"/>
          <w:sz w:val="24"/>
          <w:szCs w:val="24"/>
          <w:lang w:eastAsia="zh-CN"/>
        </w:rPr>
        <w:t>文件</w:t>
      </w:r>
      <w:r>
        <w:rPr>
          <w:rFonts w:hint="eastAsia" w:ascii="宋体" w:hAnsi="宋体"/>
          <w:color w:val="auto"/>
          <w:sz w:val="24"/>
          <w:szCs w:val="24"/>
        </w:rPr>
        <w:t>规定：凡是基本建设、维修项目、设备引进、一次性采购额在5000元以上的物资一律货比三家</w:t>
      </w:r>
      <w:r>
        <w:rPr>
          <w:rFonts w:hint="eastAsia" w:ascii="宋体" w:hAnsi="宋体"/>
          <w:color w:val="auto"/>
          <w:sz w:val="24"/>
          <w:szCs w:val="24"/>
          <w:lang w:eastAsia="zh-CN"/>
        </w:rPr>
        <w:t>，才能定下合作方</w:t>
      </w:r>
      <w:r>
        <w:rPr>
          <w:rFonts w:hint="eastAsia" w:ascii="宋体" w:hAnsi="宋体"/>
          <w:color w:val="auto"/>
          <w:sz w:val="24"/>
          <w:szCs w:val="24"/>
        </w:rPr>
        <w:t xml:space="preserve">。对公司各项重大问题采取不同形式、不同层面的公开，消除暗箱操作的做法，加强了党风廉政建设，进一步提高了企业管理水平。 </w:t>
      </w:r>
    </w:p>
    <w:p>
      <w:pPr>
        <w:numPr>
          <w:ilvl w:val="0"/>
          <w:numId w:val="0"/>
        </w:numPr>
        <w:spacing w:line="240" w:lineRule="auto"/>
        <w:jc w:val="center"/>
        <w:rPr>
          <w:color w:val="auto"/>
        </w:rPr>
      </w:pPr>
      <w:r>
        <w:rPr>
          <w:color w:val="auto"/>
        </w:rPr>
        <w:drawing>
          <wp:inline distT="0" distB="0" distL="114300" distR="114300">
            <wp:extent cx="5299075" cy="2781935"/>
            <wp:effectExtent l="0" t="0" r="1587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299075" cy="2781935"/>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outlineLvl w:val="9"/>
        <w:rPr>
          <w:rFonts w:hint="eastAsia"/>
          <w:color w:val="auto"/>
          <w:sz w:val="24"/>
          <w:szCs w:val="24"/>
          <w:lang w:eastAsia="zh-CN"/>
        </w:rPr>
      </w:pPr>
      <w:r>
        <w:rPr>
          <w:rFonts w:hint="eastAsia"/>
          <w:color w:val="auto"/>
          <w:sz w:val="24"/>
          <w:szCs w:val="24"/>
          <w:lang w:eastAsia="zh-CN"/>
        </w:rPr>
        <w:t>图</w:t>
      </w:r>
      <w:r>
        <w:rPr>
          <w:rFonts w:hint="eastAsia"/>
          <w:color w:val="auto"/>
          <w:sz w:val="24"/>
          <w:szCs w:val="24"/>
          <w:lang w:val="en-US" w:eastAsia="zh-CN"/>
        </w:rPr>
        <w:t xml:space="preserve">10  </w:t>
      </w:r>
      <w:r>
        <w:rPr>
          <w:rFonts w:hint="eastAsia"/>
          <w:color w:val="auto"/>
          <w:sz w:val="24"/>
          <w:szCs w:val="24"/>
          <w:lang w:eastAsia="zh-CN"/>
        </w:rPr>
        <w:t>厂务公开栏展示及优秀员工宣传栏</w:t>
      </w:r>
    </w:p>
    <w:p>
      <w:pPr>
        <w:pStyle w:val="2"/>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宋体" w:hAnsi="宋体"/>
          <w:color w:val="auto"/>
          <w:sz w:val="24"/>
          <w:szCs w:val="24"/>
        </w:rPr>
      </w:pPr>
      <w:r>
        <w:rPr>
          <w:rFonts w:hint="eastAsia" w:ascii="宋体" w:hAnsi="宋体"/>
          <w:color w:val="auto"/>
          <w:sz w:val="24"/>
          <w:szCs w:val="24"/>
        </w:rPr>
        <w:t>健全员工代表大会制度。</w:t>
      </w:r>
      <w:r>
        <w:rPr>
          <w:rFonts w:hint="eastAsia" w:ascii="宋体" w:hAnsi="宋体"/>
          <w:color w:val="auto"/>
          <w:sz w:val="24"/>
          <w:szCs w:val="24"/>
          <w:lang w:eastAsia="zh-CN"/>
        </w:rPr>
        <w:t>正源</w:t>
      </w:r>
      <w:r>
        <w:rPr>
          <w:rFonts w:hint="eastAsia" w:ascii="宋体" w:hAnsi="宋体"/>
          <w:color w:val="auto"/>
          <w:sz w:val="24"/>
          <w:szCs w:val="24"/>
        </w:rPr>
        <w:t>支持每年一次召开员工代表大会让员工积极参与企业管理，加强企业民主管理，提高企业凝聚力，着力营造</w:t>
      </w:r>
      <w:r>
        <w:rPr>
          <w:rFonts w:hint="default" w:ascii="宋体" w:hAnsi="宋体"/>
          <w:color w:val="auto"/>
          <w:sz w:val="24"/>
          <w:szCs w:val="24"/>
        </w:rPr>
        <w:t>“</w:t>
      </w:r>
      <w:r>
        <w:rPr>
          <w:rFonts w:hint="eastAsia" w:ascii="宋体" w:hAnsi="宋体"/>
          <w:color w:val="auto"/>
          <w:sz w:val="24"/>
          <w:szCs w:val="24"/>
          <w:lang w:eastAsia="zh-CN"/>
        </w:rPr>
        <w:t>正源</w:t>
      </w:r>
      <w:r>
        <w:rPr>
          <w:rFonts w:hint="default" w:ascii="宋体" w:hAnsi="宋体"/>
          <w:color w:val="auto"/>
          <w:sz w:val="24"/>
          <w:szCs w:val="24"/>
        </w:rPr>
        <w:t>”</w:t>
      </w:r>
      <w:r>
        <w:rPr>
          <w:rFonts w:hint="eastAsia" w:ascii="宋体" w:hAnsi="宋体"/>
          <w:color w:val="auto"/>
          <w:sz w:val="24"/>
          <w:szCs w:val="24"/>
        </w:rPr>
        <w:t xml:space="preserve">独到企业文化。此外，凡提交公司董事会决策的企业重大问题，先经员工代表大会讨论，使方案更加完整、更有群众基础。公司将企业发展目标、核心竞争力、员工切身利益等问题都向大会报告，并赋予员工代表对公司重大问题的知情权、参与权、建议权、监督权和民主评议权。 </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eastAsia="黑体" w:cstheme="minorBidi"/>
          <w:b/>
          <w:bCs/>
          <w:color w:val="auto"/>
          <w:kern w:val="44"/>
          <w:sz w:val="24"/>
          <w:szCs w:val="44"/>
          <w:lang w:val="en-US" w:eastAsia="zh-CN" w:bidi="ar-SA"/>
        </w:rPr>
      </w:pPr>
      <w:bookmarkStart w:id="30" w:name="_Toc16520"/>
      <w:r>
        <w:rPr>
          <w:rFonts w:hint="eastAsia" w:eastAsia="黑体" w:cstheme="minorBidi"/>
          <w:b/>
          <w:bCs/>
          <w:color w:val="auto"/>
          <w:kern w:val="44"/>
          <w:sz w:val="24"/>
          <w:szCs w:val="44"/>
          <w:lang w:val="en-US" w:eastAsia="zh-CN" w:bidi="ar-SA"/>
        </w:rPr>
        <w:t>二、员工培训和教育</w:t>
      </w:r>
      <w:bookmarkEnd w:id="30"/>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eastAsia="zh-CN"/>
        </w:rPr>
      </w:pPr>
      <w:r>
        <w:rPr>
          <w:rFonts w:hint="eastAsia"/>
          <w:color w:val="auto"/>
          <w:lang w:eastAsia="zh-CN"/>
        </w:rPr>
        <w:t>正源本着“以人为本”的原则，以“一流的公司培养一流的员工，一流的员工创造一流的公司”为目标，</w:t>
      </w:r>
      <w:r>
        <w:rPr>
          <w:rFonts w:hint="eastAsia"/>
          <w:color w:val="auto"/>
          <w:lang w:val="en-US" w:eastAsia="zh-CN"/>
        </w:rPr>
        <w:t>通过请进来、走出去等培训方式，</w:t>
      </w:r>
      <w:r>
        <w:rPr>
          <w:rFonts w:hint="eastAsia"/>
          <w:color w:val="auto"/>
          <w:lang w:eastAsia="zh-CN"/>
        </w:rPr>
        <w:t>提高员工的思想教育和业务技能。</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r>
        <w:rPr>
          <w:rFonts w:hint="eastAsia"/>
          <w:color w:val="auto"/>
          <w:lang w:val="en-US" w:eastAsia="zh-CN"/>
        </w:rPr>
        <w:t>1、识别教育与培训需求并制定教育培训计划</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rPr>
      </w:pPr>
      <w:r>
        <w:rPr>
          <w:rFonts w:hint="eastAsia"/>
          <w:color w:val="auto"/>
          <w:lang w:eastAsia="zh-CN"/>
        </w:rPr>
        <w:t>正源</w:t>
      </w:r>
      <w:r>
        <w:rPr>
          <w:color w:val="auto"/>
        </w:rPr>
        <w:t>通过发放《培训需求调查表》的方式进行培训调查，并在调查培训需求的基础上，结合公司发展规划与绩效差距，对各部门及其成员的知识、技能等方面进行分析，从而确定培训的必要性及培训的内容。办公室于每年年初制定公司当年的《年度培训计划》，明确培训目的、时间、地点、对象、内容、方式、费用预算、考核方式等具体要求，经相关部门负责人会签，董事长批准后实施。</w:t>
      </w:r>
    </w:p>
    <w:p>
      <w:pPr>
        <w:pStyle w:val="2"/>
        <w:spacing w:line="360" w:lineRule="auto"/>
        <w:ind w:left="0" w:leftChars="0" w:firstLine="0" w:firstLineChars="0"/>
        <w:jc w:val="center"/>
        <w:rPr>
          <w:rFonts w:hint="eastAsia" w:ascii="Times New Roman" w:hAnsi="Times New Roman"/>
          <w:color w:val="auto"/>
          <w:sz w:val="21"/>
          <w:szCs w:val="21"/>
          <w:lang w:eastAsia="zh-CN"/>
        </w:rPr>
      </w:pPr>
      <w:r>
        <w:rPr>
          <w:color w:val="auto"/>
        </w:rPr>
        <w:drawing>
          <wp:inline distT="0" distB="0" distL="114300" distR="114300">
            <wp:extent cx="3529330" cy="3959860"/>
            <wp:effectExtent l="0" t="0" r="13970"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6"/>
                    <a:stretch>
                      <a:fillRect/>
                    </a:stretch>
                  </pic:blipFill>
                  <pic:spPr>
                    <a:xfrm>
                      <a:off x="0" y="0"/>
                      <a:ext cx="3529330" cy="3959860"/>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图</w:t>
      </w:r>
      <w:r>
        <w:rPr>
          <w:rFonts w:hint="eastAsia" w:ascii="Times New Roman" w:hAnsi="Times New Roman"/>
          <w:color w:val="auto"/>
          <w:sz w:val="24"/>
          <w:szCs w:val="24"/>
          <w:lang w:val="en-US" w:eastAsia="zh-CN"/>
        </w:rPr>
        <w:t>1</w:t>
      </w:r>
      <w:r>
        <w:rPr>
          <w:rFonts w:hint="eastAsia"/>
          <w:color w:val="auto"/>
          <w:sz w:val="24"/>
          <w:szCs w:val="24"/>
          <w:lang w:val="en-US" w:eastAsia="zh-CN"/>
        </w:rPr>
        <w:t>1</w:t>
      </w:r>
      <w:r>
        <w:rPr>
          <w:rFonts w:hint="eastAsia" w:ascii="Times New Roman" w:hAnsi="Times New Roman"/>
          <w:color w:val="auto"/>
          <w:sz w:val="24"/>
          <w:szCs w:val="24"/>
          <w:lang w:val="en-US" w:eastAsia="zh-CN"/>
        </w:rPr>
        <w:t xml:space="preserve"> </w:t>
      </w:r>
      <w:r>
        <w:rPr>
          <w:rFonts w:hint="eastAsia"/>
          <w:color w:val="auto"/>
          <w:sz w:val="24"/>
          <w:szCs w:val="24"/>
          <w:lang w:val="en-US" w:eastAsia="zh-CN"/>
        </w:rPr>
        <w:t xml:space="preserve"> </w:t>
      </w:r>
      <w:r>
        <w:rPr>
          <w:rFonts w:hint="eastAsia" w:ascii="Times New Roman" w:hAnsi="Times New Roman"/>
          <w:color w:val="auto"/>
          <w:sz w:val="24"/>
          <w:szCs w:val="24"/>
          <w:lang w:eastAsia="zh-CN"/>
        </w:rPr>
        <w:t>培训需求表及培训计划</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r>
        <w:rPr>
          <w:rFonts w:hint="eastAsia"/>
          <w:color w:val="auto"/>
          <w:lang w:val="en-US" w:eastAsia="zh-CN"/>
        </w:rPr>
        <w:t>2、积极提供教育培训实施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cs="Times New Roman" w:eastAsiaTheme="minorEastAsia"/>
          <w:color w:val="auto"/>
          <w:sz w:val="24"/>
          <w:highlight w:val="none"/>
          <w:lang w:val="en-US" w:eastAsia="zh-CN"/>
        </w:rPr>
      </w:pPr>
      <w:r>
        <w:rPr>
          <w:rFonts w:hint="eastAsia"/>
          <w:color w:val="auto"/>
          <w:lang w:val="en-US" w:eastAsia="zh-CN"/>
        </w:rPr>
        <w:t>正源设有正源大讲堂、员工培训中心，便于总经理给高层讲课、高层给中层讲课以及车间主任给员工讲课。</w:t>
      </w:r>
      <w:r>
        <w:rPr>
          <w:rFonts w:hint="eastAsia" w:cs="Times New Roman" w:eastAsiaTheme="minorEastAsia"/>
          <w:color w:val="auto"/>
          <w:sz w:val="24"/>
          <w:highlight w:val="none"/>
          <w:lang w:val="en-US" w:eastAsia="zh-CN"/>
        </w:rPr>
        <w:t>为了进一步落实公司培训制度，提升公司技术质量及储备干部的技术质量综合能力，从而最终提高公司管理水平和质量保证能力，还特地设立了正源学院，每周召开一次培训，培训讲师有内部技术人员，也有外聘专家，培训内容有关产品生产工艺，也有关企业管理等。</w:t>
      </w:r>
      <w:r>
        <w:rPr>
          <w:rFonts w:hint="eastAsia"/>
          <w:color w:val="auto"/>
          <w:lang w:val="en-US" w:eastAsia="zh-CN"/>
        </w:rPr>
        <w:t>2019年，厂内培训累计近上百次，外派培训学习、技术交流近30次，旨在增强员工的整体素质和技术水平，并请专家来公司现场指导，实现理论和实践相结合，促进员工消化吸收。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cs="Times New Roman"/>
          <w:color w:val="auto"/>
          <w:sz w:val="24"/>
          <w:lang w:val="en-US" w:eastAsia="zh-CN"/>
        </w:rPr>
      </w:pPr>
      <w:r>
        <w:rPr>
          <w:rFonts w:hint="eastAsia" w:cs="Times New Roman"/>
          <w:color w:val="auto"/>
          <w:sz w:val="24"/>
          <w:lang w:val="en-US" w:eastAsia="zh-CN"/>
        </w:rPr>
        <w:t>为了进一步提高员工的能力，加强与外界企业或行业的联系，正源积极推荐组织相关人员外出讲课或交流，通过以讲课的方式来提高员工自身能力，以及与其他专家共同探讨，提高员工的知识密度和广度，为员工创造更广阔的施展才华的平台，实现公司整体技术水平的提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color w:val="auto"/>
        </w:rPr>
      </w:pPr>
      <w:r>
        <w:rPr>
          <w:rFonts w:hint="eastAsia" w:cs="Times New Roman" w:eastAsiaTheme="minorEastAsia"/>
          <w:color w:val="auto"/>
          <w:sz w:val="24"/>
          <w:highlight w:val="none"/>
          <w:lang w:val="en-US" w:eastAsia="zh-CN"/>
        </w:rPr>
        <w:drawing>
          <wp:inline distT="0" distB="0" distL="114300" distR="114300">
            <wp:extent cx="5367655" cy="3028315"/>
            <wp:effectExtent l="0" t="0" r="4445" b="635"/>
            <wp:docPr id="51" name="图片 51" descr="40eb4d2b812054dc8030da737564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0eb4d2b812054dc8030da737564bb8"/>
                    <pic:cNvPicPr>
                      <a:picLocks noChangeAspect="1"/>
                    </pic:cNvPicPr>
                  </pic:nvPicPr>
                  <pic:blipFill>
                    <a:blip r:embed="rId27"/>
                    <a:stretch>
                      <a:fillRect/>
                    </a:stretch>
                  </pic:blipFill>
                  <pic:spPr>
                    <a:xfrm>
                      <a:off x="0" y="0"/>
                      <a:ext cx="5367655" cy="30283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图1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 xml:space="preserve"> 正源</w:t>
      </w:r>
      <w:r>
        <w:rPr>
          <w:rFonts w:hint="eastAsia" w:cs="Times New Roman"/>
          <w:color w:val="auto"/>
          <w:sz w:val="24"/>
          <w:szCs w:val="24"/>
          <w:lang w:val="en-US" w:eastAsia="zh-CN"/>
        </w:rPr>
        <w:t>员工参加第五届中国国际风电复合材料高峰论坛做演讲</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eastAsia="黑体" w:cstheme="minorBidi"/>
          <w:b/>
          <w:bCs/>
          <w:color w:val="auto"/>
          <w:kern w:val="44"/>
          <w:sz w:val="24"/>
          <w:szCs w:val="44"/>
          <w:lang w:val="en-US" w:eastAsia="zh-CN" w:bidi="ar-SA"/>
        </w:rPr>
      </w:pPr>
      <w:bookmarkStart w:id="31" w:name="_Toc23791"/>
      <w:r>
        <w:rPr>
          <w:rFonts w:hint="eastAsia" w:eastAsia="黑体" w:cstheme="minorBidi"/>
          <w:b/>
          <w:bCs/>
          <w:color w:val="auto"/>
          <w:kern w:val="44"/>
          <w:sz w:val="24"/>
          <w:szCs w:val="44"/>
          <w:lang w:val="en-US" w:eastAsia="zh-CN" w:bidi="ar-SA"/>
        </w:rPr>
        <w:t>三、全心全意关爱员工</w:t>
      </w:r>
      <w:bookmarkEnd w:id="31"/>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eastAsia="zh-CN"/>
        </w:rPr>
      </w:pPr>
      <w:r>
        <w:rPr>
          <w:rFonts w:hint="eastAsia"/>
          <w:color w:val="auto"/>
          <w:lang w:eastAsia="zh-CN"/>
        </w:rPr>
        <w:t>正源是老国企转制企业，人员结构比较复杂，</w:t>
      </w:r>
      <w:r>
        <w:rPr>
          <w:rFonts w:hint="eastAsia"/>
          <w:color w:val="auto"/>
          <w:lang w:val="en-US" w:eastAsia="zh-CN"/>
        </w:rPr>
        <w:t>90</w:t>
      </w:r>
      <w:r>
        <w:rPr>
          <w:rFonts w:hint="eastAsia"/>
          <w:color w:val="auto"/>
          <w:lang w:eastAsia="zh-CN"/>
        </w:rPr>
        <w:t>后员工是在改革开放经济条件大幅改善后后长大的孩子，还大部分是独生子女，追求个性和时尚，崇尚自由、因此做好职工队伍的稳定显得尤为重要。正源在发挥工会服务职工、维护稳定的职能过程中，把慰问活动与现金补助相结合，在维护企业稳定和员工权益方面做了许多。20</w:t>
      </w:r>
      <w:r>
        <w:rPr>
          <w:rFonts w:hint="eastAsia"/>
          <w:color w:val="auto"/>
          <w:lang w:val="en-US" w:eastAsia="zh-CN"/>
        </w:rPr>
        <w:t>20</w:t>
      </w:r>
      <w:r>
        <w:rPr>
          <w:rFonts w:hint="eastAsia"/>
          <w:color w:val="auto"/>
          <w:lang w:eastAsia="zh-CN"/>
        </w:rPr>
        <w:t>年春节前夕，正源组织建立了困难职工档案，并代表公司对多名困难职工家庭进行了慰问，送去春节礼物，并为多名困难职工送去</w:t>
      </w:r>
      <w:r>
        <w:rPr>
          <w:rFonts w:hint="eastAsia"/>
          <w:color w:val="auto"/>
          <w:lang w:val="en-US" w:eastAsia="zh-CN"/>
        </w:rPr>
        <w:t>8000</w:t>
      </w:r>
      <w:r>
        <w:rPr>
          <w:rFonts w:hint="eastAsia"/>
          <w:color w:val="auto"/>
          <w:lang w:eastAsia="zh-CN"/>
        </w:rPr>
        <w:t>元的困难补助。一年来为</w:t>
      </w:r>
      <w:r>
        <w:rPr>
          <w:rFonts w:hint="eastAsia"/>
          <w:color w:val="auto"/>
          <w:lang w:val="en-US" w:eastAsia="zh-CN"/>
        </w:rPr>
        <w:t>300余</w:t>
      </w:r>
      <w:r>
        <w:rPr>
          <w:rFonts w:hint="eastAsia"/>
          <w:color w:val="auto"/>
          <w:lang w:eastAsia="zh-CN"/>
        </w:rPr>
        <w:t>名职工发放生日卡共计</w:t>
      </w:r>
      <w:r>
        <w:rPr>
          <w:rFonts w:hint="eastAsia"/>
          <w:color w:val="auto"/>
          <w:lang w:val="en-US" w:eastAsia="zh-CN"/>
        </w:rPr>
        <w:t>80000</w:t>
      </w:r>
      <w:r>
        <w:rPr>
          <w:rFonts w:hint="eastAsia"/>
          <w:color w:val="auto"/>
          <w:lang w:eastAsia="zh-CN"/>
        </w:rPr>
        <w:t>元，真正把企业的关怀送达每个职工。</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eastAsia="zh-CN"/>
        </w:rPr>
      </w:pPr>
      <w:r>
        <w:rPr>
          <w:rFonts w:hint="eastAsia"/>
          <w:color w:val="auto"/>
          <w:lang w:eastAsia="zh-CN"/>
        </w:rPr>
        <w:t>正源坚持以人为本的发展理念，认真落实国家政策，与职工签订劳动合同率达到100%。公司有职工食堂，实行餐补制度，为外地员工及其家属免费提供设施齐全的员工宿舍，还为职工提供图书阅览室、健身房、篮球场等文体活动场所。在“三八”妇女节，开展以“静思生活、灵性工作”为主题的女职工心理健康知识讲座，特邀浙江海洋大学心理咨询丁老师给公司女职工作了心理健康知识讲座，针对女性日常工作及生活中容易遇到的压力和困难进行了疏导，并分发节日红包。夏季高温，开展“夏季送清凉”慰问活动，到一线生产部门，到热脏累岗位慰问职工，送去夏季清凉。</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eastAsia="zh-CN"/>
        </w:rPr>
      </w:pPr>
      <w:r>
        <w:rPr>
          <w:rFonts w:hint="eastAsia"/>
          <w:color w:val="auto"/>
          <w:lang w:eastAsia="zh-CN"/>
        </w:rPr>
        <w:t>为了改善员工饮用水的水质，特购置吉之美开水器，该开水器采用步进水逐层加热技术，取水后可逐层进水逐层加热，可连续提供100％纯开水并保证出水持续恒温，避免了传统浮球阀开水器冷热水混合造成的“阴阳水”问题；逐层沸腾，完全实现冷热水分离，电脑控温确保仅一次沸腾，避免 了一般国内高档的“沸腾式”开水器由于靠蒸汽膨胀从加热箱向保温箱出水的重复加热现象，解决了“沸腾式”开水器多次 沸腾造成的“千沸水”问题，开创开水器健康饮水新时代，为员工身体健康贡献一份力。</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jc w:val="center"/>
        <w:textAlignment w:val="auto"/>
        <w:outlineLvl w:val="9"/>
        <w:rPr>
          <w:rFonts w:hint="eastAsia"/>
          <w:color w:val="auto"/>
          <w:lang w:eastAsia="zh-CN"/>
        </w:rPr>
      </w:pPr>
      <w:r>
        <w:rPr>
          <w:rFonts w:hint="eastAsia"/>
          <w:color w:val="auto"/>
          <w:lang w:eastAsia="zh-CN"/>
        </w:rPr>
        <w:drawing>
          <wp:inline distT="0" distB="0" distL="114300" distR="114300">
            <wp:extent cx="3423285" cy="3423285"/>
            <wp:effectExtent l="0" t="0" r="5715" b="5715"/>
            <wp:docPr id="7" name="图片 7" descr="ad5c6f154603369ad372e84bf636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5c6f154603369ad372e84bf6368e8"/>
                    <pic:cNvPicPr>
                      <a:picLocks noChangeAspect="1"/>
                    </pic:cNvPicPr>
                  </pic:nvPicPr>
                  <pic:blipFill>
                    <a:blip r:embed="rId28"/>
                    <a:stretch>
                      <a:fillRect/>
                    </a:stretch>
                  </pic:blipFill>
                  <pic:spPr>
                    <a:xfrm>
                      <a:off x="0" y="0"/>
                      <a:ext cx="3423285" cy="3423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color w:val="auto"/>
          <w:lang w:eastAsia="zh-CN"/>
        </w:rPr>
      </w:pPr>
      <w:r>
        <w:rPr>
          <w:rFonts w:hint="eastAsia" w:eastAsia="宋体" w:cs="Times New Roman"/>
          <w:color w:val="auto"/>
          <w:sz w:val="24"/>
          <w:szCs w:val="24"/>
          <w:lang w:val="en-US" w:eastAsia="zh-CN"/>
        </w:rPr>
        <w:t>图1</w:t>
      </w:r>
      <w:r>
        <w:rPr>
          <w:rFonts w:hint="eastAsia" w:cs="Times New Roman"/>
          <w:color w:val="auto"/>
          <w:sz w:val="24"/>
          <w:szCs w:val="24"/>
          <w:lang w:val="en-US" w:eastAsia="zh-CN"/>
        </w:rPr>
        <w:t xml:space="preserve">3 </w:t>
      </w:r>
      <w:r>
        <w:rPr>
          <w:rFonts w:hint="eastAsia" w:eastAsia="宋体" w:cs="Times New Roman"/>
          <w:color w:val="auto"/>
          <w:sz w:val="24"/>
          <w:szCs w:val="24"/>
          <w:lang w:val="en-US" w:eastAsia="zh-CN"/>
        </w:rPr>
        <w:t xml:space="preserve"> </w:t>
      </w:r>
      <w:r>
        <w:rPr>
          <w:rFonts w:hint="eastAsia" w:cs="Times New Roman"/>
          <w:color w:val="auto"/>
          <w:sz w:val="24"/>
          <w:szCs w:val="24"/>
          <w:lang w:val="en-US" w:eastAsia="zh-CN"/>
        </w:rPr>
        <w:t>环保健康饮水器</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r>
        <w:rPr>
          <w:rFonts w:hint="eastAsia"/>
          <w:color w:val="auto"/>
          <w:lang w:val="en-US" w:eastAsia="zh-CN"/>
        </w:rPr>
        <w:t>另外，正源积极倾听员工的心声，解决员工工作和生活中的实际问题和困难。董事长特意设置了热线电话和信箱，及时倾听广大员工的心声，了解员工支持和保障措施的效果，进一步解决员工工作和生活中的实际问题和困难；对于具名的员工申诉，公司开通了畅通的员工申诉管理通道。无论是建议还是意见，对于各级人员的信息（办公室、生产部）都进行详细的反馈，让员工了解到公司关注员工的想法，公司重视员工的想法。正源每年进行员工满意度调查和统计，结合员工流失率、抱怨率、缺勤率、生产效率等指标，评价、分析找出改进的机会，由办公室制定改善员工满意度的措施和方案，工会组织和全体员工进行监督检查，以此积极维护员工权益，不断提高员工的满意度和工作积极性。从2019年调查结果看来，员工满意度较高。</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val="en-US" w:eastAsia="zh-CN"/>
        </w:rPr>
      </w:pPr>
    </w:p>
    <w:p>
      <w:pPr>
        <w:pStyle w:val="4"/>
        <w:numPr>
          <w:ilvl w:val="0"/>
          <w:numId w:val="0"/>
        </w:numPr>
        <w:ind w:leftChars="0"/>
        <w:jc w:val="center"/>
        <w:rPr>
          <w:rFonts w:hint="eastAsia"/>
          <w:color w:val="auto"/>
          <w:sz w:val="30"/>
          <w:szCs w:val="30"/>
          <w:lang w:eastAsia="zh-CN"/>
        </w:rPr>
      </w:pPr>
      <w:bookmarkStart w:id="32" w:name="_Toc28197"/>
      <w:r>
        <w:rPr>
          <w:rFonts w:hint="eastAsia"/>
          <w:color w:val="auto"/>
          <w:sz w:val="30"/>
          <w:szCs w:val="30"/>
          <w:lang w:eastAsia="zh-CN"/>
        </w:rPr>
        <w:t>第五章</w:t>
      </w:r>
      <w:r>
        <w:rPr>
          <w:rFonts w:hint="eastAsia"/>
          <w:color w:val="auto"/>
          <w:sz w:val="30"/>
          <w:szCs w:val="30"/>
          <w:lang w:val="en-US" w:eastAsia="zh-CN"/>
        </w:rPr>
        <w:t xml:space="preserve">  </w:t>
      </w:r>
      <w:r>
        <w:rPr>
          <w:rFonts w:hint="eastAsia"/>
          <w:color w:val="auto"/>
          <w:sz w:val="30"/>
          <w:szCs w:val="30"/>
          <w:lang w:eastAsia="zh-CN"/>
        </w:rPr>
        <w:t>社会公益</w:t>
      </w:r>
      <w:bookmarkEnd w:id="32"/>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eastAsia="黑体" w:cstheme="minorBidi"/>
          <w:b/>
          <w:bCs/>
          <w:color w:val="auto"/>
          <w:kern w:val="44"/>
          <w:sz w:val="24"/>
          <w:szCs w:val="44"/>
          <w:lang w:val="en-US" w:eastAsia="zh-CN" w:bidi="ar-SA"/>
        </w:rPr>
      </w:pPr>
      <w:bookmarkStart w:id="33" w:name="_Toc27506"/>
      <w:r>
        <w:rPr>
          <w:rFonts w:hint="eastAsia" w:eastAsia="黑体" w:cstheme="minorBidi"/>
          <w:b/>
          <w:bCs/>
          <w:color w:val="auto"/>
          <w:kern w:val="44"/>
          <w:sz w:val="24"/>
          <w:szCs w:val="44"/>
          <w:lang w:val="en-US" w:eastAsia="zh-CN" w:bidi="ar-SA"/>
        </w:rPr>
        <w:t>一、合法经营，依法纳税</w:t>
      </w:r>
      <w:bookmarkEnd w:id="33"/>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b/>
          <w:color w:val="auto"/>
          <w:szCs w:val="24"/>
        </w:rPr>
      </w:pPr>
      <w:r>
        <w:rPr>
          <w:b/>
          <w:color w:val="auto"/>
          <w:szCs w:val="24"/>
        </w:rPr>
        <w:t>1、组织管理责任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正源按照《公司法》明确了董事会是公司的权利机构。公司明确规定了董事会、管理层等各级权力机构的审批权限，实行岗位责任制，明确了组织行为的管理者责任、财务责任，确保内外部审计的独立性。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为保护股东和受益者利益，正源由董事会负责对公司高级管理人员职权行使、重大投资、财务收资和经济活动等组织行为进行监督、审计，保证公司活动的合法性、规范性、有效性。</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b/>
          <w:color w:val="auto"/>
          <w:szCs w:val="24"/>
        </w:rPr>
      </w:pPr>
      <w:r>
        <w:rPr>
          <w:b/>
          <w:color w:val="auto"/>
          <w:szCs w:val="24"/>
        </w:rPr>
        <w:t>2、落实财务责任，确保资产保值增值</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公司依据国家会计准则以及相关法律法规要求，建立相关管理制度。公司按照董事会要求建立了全面的财务报表体系，按月编制和上报各类财务会计报表。对公司重大投资决策和经营活动进行财务分析，规避公司经营风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根据公司相关财务管理制度，公司完善内控制度，强化内部制约制度，所有业务均须由经办人注明事由，部门负责人审核和董事长审批，以确认其真实性和合法性，财务部严格把关。公司各类费用支出严格按规定权限进行审批。对重大项目建设资金支出，按项目实施计划和工程进度，由项目执行负责人审核，董事长签署确认意见，财务部门严格把关。</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b/>
          <w:color w:val="auto"/>
          <w:szCs w:val="24"/>
        </w:rPr>
      </w:pPr>
      <w:r>
        <w:rPr>
          <w:b/>
          <w:color w:val="auto"/>
          <w:szCs w:val="24"/>
        </w:rPr>
        <w:t>3、经营管理的透明性及信息披露政策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szCs w:val="24"/>
        </w:rPr>
      </w:pPr>
      <w:r>
        <w:rPr>
          <w:color w:val="auto"/>
        </w:rPr>
        <w:t>公司能够严格按照《公司法》等有关规定，法律、法规和规范性文件的要求，自觉履行</w:t>
      </w:r>
      <w:r>
        <w:rPr>
          <w:bCs/>
          <w:color w:val="auto"/>
        </w:rPr>
        <w:t>经营管理的透明性和</w:t>
      </w:r>
      <w:r>
        <w:rPr>
          <w:color w:val="auto"/>
        </w:rPr>
        <w:t>信息披露的义务</w:t>
      </w:r>
      <w:r>
        <w:rPr>
          <w:rStyle w:val="43"/>
          <w:rFonts w:cs="Times New Roman"/>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szCs w:val="24"/>
        </w:rPr>
      </w:pPr>
      <w:r>
        <w:rPr>
          <w:color w:val="auto"/>
          <w:szCs w:val="24"/>
        </w:rPr>
        <w:t>公司领导强调内部经营公平、公开，实现透明化管理。经公司高层研讨的内部经营管理决策会以经营会、部门例会等形式告知员工；对外，公司通过网站将披露的公司政策和经营成果告知相关方，并将每年度产值和销售收入及时、准备的上报区统计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 xml:space="preserve">职工代表大会制度：凡是与员工切身利益有关的制度，都需提交职代会审议通过才能执行；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厂务公开制度：实行厂务公开，建立广泛的信息沟通渠道，让员工及时了解企业的战略发展与经营决策信息。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szCs w:val="24"/>
        </w:rPr>
      </w:pPr>
      <w:r>
        <w:rPr>
          <w:color w:val="auto"/>
        </w:rPr>
        <w:t>党员民主听证制度：通过党员、党组织参与事关企业发展、事关职工利益等重大的决策，进一步实现企业决策的民主化和科学化，为企业的发展提供强大的动力。</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b/>
          <w:color w:val="auto"/>
          <w:szCs w:val="24"/>
        </w:rPr>
      </w:pPr>
      <w:bookmarkStart w:id="34" w:name="_Toc285542874"/>
      <w:r>
        <w:rPr>
          <w:b/>
          <w:color w:val="auto"/>
          <w:szCs w:val="24"/>
        </w:rPr>
        <w:t>4、内、外部审计的独立性</w:t>
      </w:r>
      <w:bookmarkEnd w:id="34"/>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公司聘请</w:t>
      </w:r>
      <w:r>
        <w:rPr>
          <w:color w:val="auto"/>
          <w:highlight w:val="none"/>
        </w:rPr>
        <w:t>舟山</w:t>
      </w:r>
      <w:r>
        <w:rPr>
          <w:rFonts w:hint="eastAsia"/>
          <w:color w:val="auto"/>
          <w:highlight w:val="none"/>
          <w:lang w:eastAsia="zh-CN"/>
        </w:rPr>
        <w:t>市刘红</w:t>
      </w:r>
      <w:r>
        <w:rPr>
          <w:color w:val="auto"/>
          <w:highlight w:val="none"/>
        </w:rPr>
        <w:t>会计事务所</w:t>
      </w:r>
      <w:r>
        <w:rPr>
          <w:color w:val="auto"/>
        </w:rPr>
        <w:t>进行外部审计并出具审计报告，以保证公司的会计报表符合国家的《企业会计准则》和《企业会计制度》，公允地反映公司的财务状况，经营成果和现金流量。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公司在内部审计上设立了内审考核小组，负责对公司各高级管理人员职权行使、重大投资、财务收资和经济活动等组织行为进行监督、审计。</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9"/>
        <w:rPr>
          <w:b/>
          <w:color w:val="auto"/>
          <w:szCs w:val="24"/>
        </w:rPr>
      </w:pPr>
      <w:bookmarkStart w:id="35" w:name="_Toc285542875"/>
      <w:r>
        <w:rPr>
          <w:b/>
          <w:color w:val="auto"/>
          <w:szCs w:val="24"/>
        </w:rPr>
        <w:t>5、股东及其他相关方利益的保护</w:t>
      </w:r>
      <w:bookmarkEnd w:id="35"/>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A.</w:t>
      </w:r>
      <w:r>
        <w:rPr>
          <w:rFonts w:hint="eastAsia" w:ascii="宋体" w:hAnsi="宋体" w:eastAsia="宋体" w:cs="宋体"/>
          <w:color w:val="auto"/>
        </w:rPr>
        <w:t>股东利益的保护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szCs w:val="24"/>
        </w:rPr>
      </w:pPr>
      <w:r>
        <w:rPr>
          <w:color w:val="auto"/>
        </w:rPr>
        <w:t>为有效保护股东利益，由董事会负责对公司各高级管理人员职权行使、重大投资、财务收资和经济活动等组织行为进行监督、审计，保证公司活动的合法性、规范性、有效性。同时专门制定了《公司章程》、《股东会议事规则》、《董事会议事规则》等制度，充分确保公司股东利益得到保护</w:t>
      </w:r>
      <w:r>
        <w:rPr>
          <w:color w:val="auto"/>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B.其他相关方利益的保护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公司本着“诚信、共赢”的精神，和供应商、客户等相关方进行友好协商合作，严格履行合同。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公司注重保护员工权益，发挥工会的作用，支持工会维护员工合法权益，妥善处理内部员工各类投诉事项。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color w:val="auto"/>
        </w:rPr>
      </w:pPr>
      <w:r>
        <w:rPr>
          <w:color w:val="auto"/>
        </w:rPr>
        <w:t>公司把依法纳税、环境保护、安全生产等社会责任项目都纳入公司年度目标，责任到人。</w:t>
      </w:r>
    </w:p>
    <w:p>
      <w:pPr>
        <w:keepNext w:val="0"/>
        <w:keepLines w:val="0"/>
        <w:pageBreakBefore w:val="0"/>
        <w:widowControl/>
        <w:kinsoku/>
        <w:wordWrap/>
        <w:overflowPunct/>
        <w:topLinePunct w:val="0"/>
        <w:autoSpaceDE/>
        <w:autoSpaceDN/>
        <w:bidi w:val="0"/>
        <w:adjustRightInd/>
        <w:snapToGrid/>
        <w:spacing w:before="260" w:line="360" w:lineRule="auto"/>
        <w:ind w:firstLine="0" w:firstLineChars="0"/>
        <w:jc w:val="both"/>
        <w:textAlignment w:val="auto"/>
        <w:outlineLvl w:val="1"/>
        <w:rPr>
          <w:rFonts w:hint="eastAsia" w:eastAsia="黑体" w:cstheme="minorBidi"/>
          <w:b/>
          <w:bCs/>
          <w:color w:val="auto"/>
          <w:kern w:val="44"/>
          <w:sz w:val="24"/>
          <w:szCs w:val="44"/>
          <w:lang w:val="en-US" w:eastAsia="zh-CN" w:bidi="ar-SA"/>
        </w:rPr>
      </w:pPr>
      <w:bookmarkStart w:id="36" w:name="_Toc29745"/>
      <w:r>
        <w:rPr>
          <w:rFonts w:hint="eastAsia" w:eastAsia="黑体" w:cstheme="minorBidi"/>
          <w:b/>
          <w:bCs/>
          <w:color w:val="auto"/>
          <w:kern w:val="44"/>
          <w:sz w:val="24"/>
          <w:szCs w:val="44"/>
          <w:lang w:val="en-US" w:eastAsia="zh-CN" w:bidi="ar-SA"/>
        </w:rPr>
        <w:t>二、履行社会责任</w:t>
      </w:r>
      <w:bookmarkEnd w:id="36"/>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b/>
          <w:color w:val="auto"/>
          <w:szCs w:val="24"/>
          <w:lang w:val="en-US" w:eastAsia="zh-CN"/>
        </w:rPr>
      </w:pPr>
      <w:r>
        <w:rPr>
          <w:rFonts w:hint="eastAsia" w:ascii="Times New Roman" w:hAnsi="Times New Roman"/>
          <w:b/>
          <w:color w:val="auto"/>
          <w:szCs w:val="24"/>
          <w:lang w:val="en-US" w:eastAsia="zh-CN"/>
        </w:rPr>
        <w:t>1、社会公益和志愿者服务活动开展情况</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color w:val="auto"/>
          <w:lang w:eastAsia="zh-CN"/>
        </w:rPr>
      </w:pPr>
      <w:r>
        <w:rPr>
          <w:rFonts w:hint="eastAsia"/>
          <w:color w:val="auto"/>
          <w:lang w:eastAsia="zh-CN"/>
        </w:rPr>
        <w:t>为深入开展学雷锋志愿服务活动，志愿者们利用周末等业务时间，去厂区外进行环境大清扫，为公众提供一个良好的环境。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drawing>
          <wp:inline distT="0" distB="0" distL="114300" distR="114300">
            <wp:extent cx="4605020" cy="3454400"/>
            <wp:effectExtent l="0" t="0" r="5080" b="12700"/>
            <wp:docPr id="36" name="图片 36" descr="20190803职工活动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190803职工活动照"/>
                    <pic:cNvPicPr>
                      <a:picLocks noChangeAspect="1"/>
                    </pic:cNvPicPr>
                  </pic:nvPicPr>
                  <pic:blipFill>
                    <a:blip r:embed="rId29"/>
                    <a:stretch>
                      <a:fillRect/>
                    </a:stretch>
                  </pic:blipFill>
                  <pic:spPr>
                    <a:xfrm>
                      <a:off x="0" y="0"/>
                      <a:ext cx="4605020" cy="3454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color w:val="auto"/>
          <w:lang w:eastAsia="zh-CN"/>
        </w:rPr>
      </w:pPr>
      <w:r>
        <w:rPr>
          <w:rFonts w:hint="eastAsia" w:ascii="宋体" w:hAnsi="宋体" w:cs="宋体"/>
          <w:color w:val="auto"/>
          <w:sz w:val="24"/>
          <w:szCs w:val="24"/>
          <w:lang w:val="en-US" w:eastAsia="zh-CN"/>
        </w:rPr>
        <w:t>图13 志愿者活动照</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eastAsia" w:ascii="Times New Roman" w:hAnsi="Times New Roman"/>
          <w:color w:val="auto"/>
          <w:lang w:eastAsia="zh-CN"/>
        </w:rPr>
      </w:pPr>
      <w:r>
        <w:rPr>
          <w:rFonts w:hint="eastAsia" w:ascii="Times New Roman" w:hAnsi="Times New Roman"/>
          <w:color w:val="auto"/>
          <w:lang w:eastAsia="zh-CN"/>
        </w:rPr>
        <w:t>为更好地回报社会，服务社会，公司高层把社会福利和慈善作为战略的一部分。社会公益方面重点以慈善、捐助为支持方向，通过社会捐赠、关爱老人和残障儿童、解决贫困家庭子女上学、就业问题等方式，积极为社会公益事业做出努力。公司高层领导把对社区的支持工作纳入公司行动计划中，公司领导层提供活动所需要的人力和资金支持，积极为社会、环保、行业发展做出努力。</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default" w:ascii="Times New Roman" w:hAnsi="Times New Roman"/>
          <w:color w:val="auto"/>
          <w:lang w:val="en-US" w:eastAsia="zh-CN"/>
        </w:rPr>
      </w:pPr>
      <w:r>
        <w:rPr>
          <w:rFonts w:hint="eastAsia" w:ascii="Times New Roman" w:hAnsi="Times New Roman"/>
          <w:color w:val="auto"/>
          <w:lang w:eastAsia="zh-CN"/>
        </w:rPr>
        <w:t>公司也极其重视</w:t>
      </w:r>
      <w:r>
        <w:rPr>
          <w:rFonts w:hint="eastAsia"/>
          <w:color w:val="auto"/>
          <w:lang w:eastAsia="zh-CN"/>
        </w:rPr>
        <w:t>在校大学生</w:t>
      </w:r>
      <w:r>
        <w:rPr>
          <w:rFonts w:hint="eastAsia" w:ascii="Times New Roman" w:hAnsi="Times New Roman"/>
          <w:color w:val="auto"/>
          <w:lang w:eastAsia="zh-CN"/>
        </w:rPr>
        <w:t>的</w:t>
      </w:r>
      <w:r>
        <w:rPr>
          <w:rFonts w:hint="eastAsia"/>
          <w:color w:val="auto"/>
          <w:lang w:eastAsia="zh-CN"/>
        </w:rPr>
        <w:t>教育</w:t>
      </w:r>
      <w:r>
        <w:rPr>
          <w:rFonts w:hint="eastAsia" w:ascii="Times New Roman" w:hAnsi="Times New Roman"/>
          <w:color w:val="auto"/>
          <w:lang w:eastAsia="zh-CN"/>
        </w:rPr>
        <w:t>，与学校合作，实行校企联动，</w:t>
      </w:r>
      <w:r>
        <w:rPr>
          <w:rFonts w:hint="eastAsia"/>
          <w:color w:val="auto"/>
          <w:lang w:eastAsia="zh-CN"/>
        </w:rPr>
        <w:t>给大学生更多竞赛的机会，将理论转化为实践，更好地为人民服务</w:t>
      </w:r>
      <w:r>
        <w:rPr>
          <w:rFonts w:hint="eastAsia" w:ascii="Times New Roman" w:hAnsi="Times New Roman"/>
          <w:color w:val="auto"/>
          <w:lang w:eastAsia="zh-CN"/>
        </w:rPr>
        <w:t>。</w:t>
      </w:r>
      <w:r>
        <w:rPr>
          <w:rFonts w:hint="eastAsia"/>
          <w:color w:val="auto"/>
          <w:lang w:val="en-US" w:eastAsia="zh-CN"/>
        </w:rPr>
        <w:t>2019年，给浙江海洋大学教育基金会捐赠了8万元，用于赞助大学生机械设计竞赛，确保本次竞赛可以顺利举办，让大学生得以展现自我。</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jc w:val="center"/>
        <w:textAlignment w:val="auto"/>
        <w:outlineLvl w:val="9"/>
        <w:rPr>
          <w:color w:val="auto"/>
        </w:rPr>
      </w:pPr>
      <w:r>
        <w:rPr>
          <w:color w:val="auto"/>
        </w:rPr>
        <w:drawing>
          <wp:inline distT="0" distB="0" distL="114300" distR="114300">
            <wp:extent cx="3992880" cy="2662555"/>
            <wp:effectExtent l="0" t="0" r="7620" b="4445"/>
            <wp:docPr id="54" name="图片 2" descr="微信图片_2019110612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微信图片_20191106125143"/>
                    <pic:cNvPicPr>
                      <a:picLocks noChangeAspect="1"/>
                    </pic:cNvPicPr>
                  </pic:nvPicPr>
                  <pic:blipFill>
                    <a:blip r:embed="rId30"/>
                    <a:stretch>
                      <a:fillRect/>
                    </a:stretch>
                  </pic:blipFill>
                  <pic:spPr>
                    <a:xfrm>
                      <a:off x="0" y="0"/>
                      <a:ext cx="3992880" cy="2662555"/>
                    </a:xfrm>
                    <a:prstGeom prst="rect">
                      <a:avLst/>
                    </a:prstGeom>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jc w:val="center"/>
        <w:textAlignment w:val="auto"/>
        <w:outlineLvl w:val="9"/>
        <w:rPr>
          <w:rFonts w:hint="eastAsia" w:eastAsia="宋体"/>
          <w:color w:val="auto"/>
          <w:lang w:eastAsia="zh-CN"/>
        </w:rPr>
      </w:pPr>
      <w:r>
        <w:rPr>
          <w:rFonts w:hint="eastAsia" w:eastAsia="宋体"/>
          <w:color w:val="auto"/>
          <w:lang w:val="en-US" w:eastAsia="zh-CN"/>
        </w:rPr>
        <w:t>图</w:t>
      </w:r>
      <w:r>
        <w:rPr>
          <w:rFonts w:hint="eastAsia"/>
          <w:color w:val="auto"/>
          <w:lang w:val="en-US" w:eastAsia="zh-CN"/>
        </w:rPr>
        <w:t xml:space="preserve">14 </w:t>
      </w:r>
      <w:r>
        <w:rPr>
          <w:rFonts w:hint="eastAsia" w:eastAsia="宋体"/>
          <w:color w:val="auto"/>
          <w:lang w:val="en-US" w:eastAsia="zh-CN"/>
        </w:rPr>
        <w:t xml:space="preserve"> 浙江省第十六届“正源杯”大学生机械设计竞赛开幕式</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b/>
          <w:color w:val="auto"/>
          <w:szCs w:val="24"/>
          <w:lang w:val="en-US" w:eastAsia="zh-CN"/>
        </w:rPr>
      </w:pPr>
      <w:r>
        <w:rPr>
          <w:rFonts w:hint="eastAsia" w:ascii="Times New Roman" w:hAnsi="Times New Roman"/>
          <w:b/>
          <w:color w:val="auto"/>
          <w:szCs w:val="24"/>
          <w:lang w:val="en-US" w:eastAsia="zh-CN"/>
        </w:rPr>
        <w:t>2、</w:t>
      </w:r>
      <w:r>
        <w:rPr>
          <w:rFonts w:hint="eastAsia"/>
          <w:b/>
          <w:color w:val="auto"/>
          <w:szCs w:val="24"/>
          <w:lang w:val="en-US" w:eastAsia="zh-CN"/>
        </w:rPr>
        <w:t>关爱老人和慈善捐赠情况</w:t>
      </w:r>
    </w:p>
    <w:bookmarkEnd w:id="18"/>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cs="宋体"/>
          <w:sz w:val="24"/>
          <w:szCs w:val="24"/>
          <w:lang w:eastAsia="zh-CN"/>
        </w:rPr>
      </w:pPr>
      <w:r>
        <w:rPr>
          <w:rFonts w:hint="eastAsia"/>
          <w:color w:val="auto"/>
          <w:lang w:eastAsia="zh-CN"/>
        </w:rPr>
        <w:t>公司十分关注社会公益事业，自觉投身社会公益事业，组织了一系列文明关爱、扶贫济困、奉献爱心、回报社会等公益活动。</w:t>
      </w:r>
      <w:r>
        <w:rPr>
          <w:rFonts w:hint="eastAsia"/>
          <w:color w:val="auto"/>
          <w:lang w:val="en-US" w:eastAsia="zh-CN"/>
        </w:rPr>
        <w:t>2019年，给</w:t>
      </w:r>
      <w:r>
        <w:rPr>
          <w:rFonts w:ascii="宋体" w:hAnsi="宋体" w:eastAsia="宋体" w:cs="宋体"/>
          <w:sz w:val="24"/>
          <w:szCs w:val="24"/>
        </w:rPr>
        <w:t>舟山市普陀区慈善总会</w:t>
      </w:r>
      <w:r>
        <w:rPr>
          <w:rFonts w:hint="eastAsia" w:ascii="宋体" w:hAnsi="宋体" w:cs="宋体"/>
          <w:sz w:val="24"/>
          <w:szCs w:val="24"/>
          <w:lang w:eastAsia="zh-CN"/>
        </w:rPr>
        <w:t>捐助了</w:t>
      </w:r>
      <w:r>
        <w:rPr>
          <w:rFonts w:ascii="宋体" w:hAnsi="宋体" w:eastAsia="宋体" w:cs="宋体"/>
          <w:sz w:val="24"/>
          <w:szCs w:val="24"/>
        </w:rPr>
        <w:t>20000</w:t>
      </w:r>
      <w:r>
        <w:rPr>
          <w:rFonts w:hint="eastAsia" w:ascii="宋体" w:hAnsi="宋体" w:cs="宋体"/>
          <w:sz w:val="24"/>
          <w:szCs w:val="24"/>
          <w:lang w:eastAsia="zh-CN"/>
        </w:rPr>
        <w:t>元，又</w:t>
      </w:r>
      <w:r>
        <w:rPr>
          <w:rFonts w:ascii="宋体" w:hAnsi="宋体" w:eastAsia="宋体" w:cs="宋体"/>
          <w:sz w:val="24"/>
          <w:szCs w:val="24"/>
        </w:rPr>
        <w:t>捐赠5000</w:t>
      </w:r>
      <w:r>
        <w:rPr>
          <w:rFonts w:hint="eastAsia" w:ascii="宋体" w:hAnsi="宋体" w:cs="宋体"/>
          <w:sz w:val="24"/>
          <w:szCs w:val="24"/>
          <w:lang w:eastAsia="zh-CN"/>
        </w:rPr>
        <w:t>元给</w:t>
      </w:r>
      <w:r>
        <w:rPr>
          <w:rFonts w:ascii="宋体" w:hAnsi="宋体" w:eastAsia="宋体" w:cs="宋体"/>
          <w:sz w:val="24"/>
          <w:szCs w:val="24"/>
        </w:rPr>
        <w:t>平阳村社老年协会</w:t>
      </w:r>
      <w:r>
        <w:rPr>
          <w:rFonts w:hint="eastAsia" w:ascii="宋体" w:hAnsi="宋体" w:cs="宋体"/>
          <w:sz w:val="24"/>
          <w:szCs w:val="24"/>
          <w:lang w:eastAsia="zh-CN"/>
        </w:rPr>
        <w:t>，为老人们送去温暖。</w:t>
      </w: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240" w:leftChars="100" w:firstLine="240" w:firstLineChars="100"/>
        <w:textAlignment w:val="auto"/>
        <w:outlineLvl w:val="9"/>
        <w:rPr>
          <w:rFonts w:hint="eastAsia" w:ascii="宋体" w:hAnsi="宋体" w:cs="宋体"/>
          <w:sz w:val="24"/>
          <w:szCs w:val="24"/>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Times New Roman" w:hAnsi="宋体"/>
          <w:color w:val="auto"/>
          <w:szCs w:val="21"/>
          <w:lang w:val="en-US" w:eastAsia="zh-CN"/>
        </w:rPr>
      </w:pPr>
    </w:p>
    <w:sectPr>
      <w:headerReference r:id="rId9" w:type="default"/>
      <w:pgSz w:w="11907" w:h="16839"/>
      <w:pgMar w:top="1440" w:right="1800" w:bottom="1440" w:left="1800" w:header="708" w:footer="708" w:gutter="0"/>
      <w:pgBorders>
        <w:top w:val="none" w:sz="0" w:space="0"/>
        <w:left w:val="none" w:sz="0" w:space="0"/>
        <w:bottom w:val="none" w:sz="0" w:space="0"/>
        <w:right w:val="none" w:sz="0" w:space="0"/>
      </w:pgBorders>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MYuenHKS-SemiBold">
    <w:altName w:val="宋体"/>
    <w:panose1 w:val="00000000000000000000"/>
    <w:charset w:val="86"/>
    <w:family w:val="swiss"/>
    <w:pitch w:val="default"/>
    <w:sig w:usb0="00000000" w:usb1="00000000" w:usb2="00000010" w:usb3="00000000" w:csb0="00040000" w:csb1="00000000"/>
  </w:font>
  <w:font w:name="宋体_x0002_擧─...">
    <w:altName w:val="宋体"/>
    <w:panose1 w:val="00000000000000000000"/>
    <w:charset w:val="86"/>
    <w:family w:val="roma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160541"/>
      <w:docPartObj>
        <w:docPartGallery w:val="autotext"/>
      </w:docPartObj>
    </w:sdtPr>
    <w:sdtContent>
      <w:p>
        <w:pPr>
          <w:pStyle w:val="14"/>
          <w:ind w:firstLine="360"/>
          <w:jc w:val="center"/>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abstractNum w:abstractNumId="0">
    <w:nsid w:val="00000047"/>
    <w:multiLevelType w:val="multilevel"/>
    <w:tmpl w:val="00000047"/>
    <w:lvl w:ilvl="0" w:tentative="0">
      <w:start w:val="1"/>
      <w:numFmt w:val="bullet"/>
      <w:lvlText w:val=""/>
      <w:lvlPicBulletId w:val="0"/>
      <w:lvlJc w:val="left"/>
      <w:pPr>
        <w:tabs>
          <w:tab w:val="left" w:pos="846"/>
        </w:tabs>
        <w:ind w:left="846" w:hanging="420"/>
      </w:pPr>
      <w:rPr>
        <w:rFonts w:hint="default" w:ascii="Wingdings" w:hAnsi="Wingdings"/>
      </w:rPr>
    </w:lvl>
    <w:lvl w:ilvl="1" w:tentative="0">
      <w:start w:val="1"/>
      <w:numFmt w:val="bullet"/>
      <w:lvlText w:val=""/>
      <w:lvlJc w:val="left"/>
      <w:pPr>
        <w:tabs>
          <w:tab w:val="left" w:pos="1266"/>
        </w:tabs>
        <w:ind w:left="1266" w:hanging="420"/>
      </w:pPr>
      <w:rPr>
        <w:rFonts w:hint="default" w:ascii="Wingdings" w:hAnsi="Wingdings"/>
      </w:rPr>
    </w:lvl>
    <w:lvl w:ilvl="2" w:tentative="0">
      <w:start w:val="1"/>
      <w:numFmt w:val="bullet"/>
      <w:lvlText w:val=""/>
      <w:lvlJc w:val="left"/>
      <w:pPr>
        <w:tabs>
          <w:tab w:val="left" w:pos="1686"/>
        </w:tabs>
        <w:ind w:left="1686" w:hanging="420"/>
      </w:pPr>
      <w:rPr>
        <w:rFonts w:hint="default" w:ascii="Wingdings" w:hAnsi="Wingdings"/>
      </w:rPr>
    </w:lvl>
    <w:lvl w:ilvl="3" w:tentative="0">
      <w:start w:val="1"/>
      <w:numFmt w:val="bullet"/>
      <w:lvlText w:val=""/>
      <w:lvlJc w:val="left"/>
      <w:pPr>
        <w:tabs>
          <w:tab w:val="left" w:pos="2106"/>
        </w:tabs>
        <w:ind w:left="2106" w:hanging="420"/>
      </w:pPr>
      <w:rPr>
        <w:rFonts w:hint="default" w:ascii="Wingdings" w:hAnsi="Wingdings"/>
      </w:rPr>
    </w:lvl>
    <w:lvl w:ilvl="4" w:tentative="0">
      <w:start w:val="1"/>
      <w:numFmt w:val="bullet"/>
      <w:lvlText w:val=""/>
      <w:lvlJc w:val="left"/>
      <w:pPr>
        <w:tabs>
          <w:tab w:val="left" w:pos="2526"/>
        </w:tabs>
        <w:ind w:left="2526" w:hanging="420"/>
      </w:pPr>
      <w:rPr>
        <w:rFonts w:hint="default" w:ascii="Wingdings" w:hAnsi="Wingdings"/>
      </w:rPr>
    </w:lvl>
    <w:lvl w:ilvl="5" w:tentative="0">
      <w:start w:val="1"/>
      <w:numFmt w:val="bullet"/>
      <w:lvlText w:val=""/>
      <w:lvlJc w:val="left"/>
      <w:pPr>
        <w:tabs>
          <w:tab w:val="left" w:pos="2946"/>
        </w:tabs>
        <w:ind w:left="2946" w:hanging="420"/>
      </w:pPr>
      <w:rPr>
        <w:rFonts w:hint="default" w:ascii="Wingdings" w:hAnsi="Wingdings"/>
      </w:rPr>
    </w:lvl>
    <w:lvl w:ilvl="6" w:tentative="0">
      <w:start w:val="1"/>
      <w:numFmt w:val="bullet"/>
      <w:lvlText w:val=""/>
      <w:lvlJc w:val="left"/>
      <w:pPr>
        <w:tabs>
          <w:tab w:val="left" w:pos="3366"/>
        </w:tabs>
        <w:ind w:left="3366" w:hanging="420"/>
      </w:pPr>
      <w:rPr>
        <w:rFonts w:hint="default" w:ascii="Wingdings" w:hAnsi="Wingdings"/>
      </w:rPr>
    </w:lvl>
    <w:lvl w:ilvl="7" w:tentative="0">
      <w:start w:val="1"/>
      <w:numFmt w:val="bullet"/>
      <w:lvlText w:val=""/>
      <w:lvlJc w:val="left"/>
      <w:pPr>
        <w:tabs>
          <w:tab w:val="left" w:pos="3786"/>
        </w:tabs>
        <w:ind w:left="3786" w:hanging="420"/>
      </w:pPr>
      <w:rPr>
        <w:rFonts w:hint="default" w:ascii="Wingdings" w:hAnsi="Wingdings"/>
      </w:rPr>
    </w:lvl>
    <w:lvl w:ilvl="8" w:tentative="0">
      <w:start w:val="1"/>
      <w:numFmt w:val="bullet"/>
      <w:lvlText w:val=""/>
      <w:lvlJc w:val="left"/>
      <w:pPr>
        <w:tabs>
          <w:tab w:val="left" w:pos="4206"/>
        </w:tabs>
        <w:ind w:left="4206" w:hanging="420"/>
      </w:pPr>
      <w:rPr>
        <w:rFonts w:hint="default" w:ascii="Wingdings" w:hAnsi="Wingdings"/>
      </w:rPr>
    </w:lvl>
  </w:abstractNum>
  <w:abstractNum w:abstractNumId="1">
    <w:nsid w:val="24A409E4"/>
    <w:multiLevelType w:val="singleLevel"/>
    <w:tmpl w:val="24A409E4"/>
    <w:lvl w:ilvl="0" w:tentative="0">
      <w:start w:val="3"/>
      <w:numFmt w:val="chineseCounting"/>
      <w:suff w:val="space"/>
      <w:lvlText w:val="第%1章"/>
      <w:lvlJc w:val="left"/>
      <w:rPr>
        <w:rFonts w:hint="eastAsia"/>
      </w:rPr>
    </w:lvl>
  </w:abstractNum>
  <w:abstractNum w:abstractNumId="2">
    <w:nsid w:val="2769937E"/>
    <w:multiLevelType w:val="singleLevel"/>
    <w:tmpl w:val="2769937E"/>
    <w:lvl w:ilvl="0" w:tentative="0">
      <w:start w:val="2"/>
      <w:numFmt w:val="chineseCounting"/>
      <w:suff w:val="nothing"/>
      <w:lvlText w:val="%1、"/>
      <w:lvlJc w:val="left"/>
      <w:rPr>
        <w:rFonts w:hint="eastAsia"/>
      </w:rPr>
    </w:lvl>
  </w:abstractNum>
  <w:abstractNum w:abstractNumId="3">
    <w:nsid w:val="39355442"/>
    <w:multiLevelType w:val="singleLevel"/>
    <w:tmpl w:val="39355442"/>
    <w:lvl w:ilvl="0" w:tentative="0">
      <w:start w:val="1"/>
      <w:numFmt w:val="upperLetter"/>
      <w:suff w:val="nothing"/>
      <w:lvlText w:val="%1、"/>
      <w:lvlJc w:val="left"/>
    </w:lvl>
  </w:abstractNum>
  <w:abstractNum w:abstractNumId="4">
    <w:nsid w:val="41142C4A"/>
    <w:multiLevelType w:val="singleLevel"/>
    <w:tmpl w:val="41142C4A"/>
    <w:lvl w:ilvl="0" w:tentative="0">
      <w:start w:val="3"/>
      <w:numFmt w:val="decimal"/>
      <w:suff w:val="space"/>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720"/>
  <w:drawingGridHorizontalSpacing w:val="140"/>
  <w:drawingGridVerticalSpacing w:val="381"/>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10"/>
    <w:rsid w:val="0000140C"/>
    <w:rsid w:val="00002309"/>
    <w:rsid w:val="00002602"/>
    <w:rsid w:val="0000293C"/>
    <w:rsid w:val="00003421"/>
    <w:rsid w:val="00005CE0"/>
    <w:rsid w:val="00007281"/>
    <w:rsid w:val="00010664"/>
    <w:rsid w:val="00012984"/>
    <w:rsid w:val="00014C51"/>
    <w:rsid w:val="00014E0D"/>
    <w:rsid w:val="000152BC"/>
    <w:rsid w:val="00017CB8"/>
    <w:rsid w:val="000222C7"/>
    <w:rsid w:val="00026B41"/>
    <w:rsid w:val="00026BFB"/>
    <w:rsid w:val="00026C90"/>
    <w:rsid w:val="00026DF9"/>
    <w:rsid w:val="000274B3"/>
    <w:rsid w:val="0003017B"/>
    <w:rsid w:val="00033936"/>
    <w:rsid w:val="000342D3"/>
    <w:rsid w:val="00034C22"/>
    <w:rsid w:val="00035658"/>
    <w:rsid w:val="000372DC"/>
    <w:rsid w:val="00037FAF"/>
    <w:rsid w:val="00040E25"/>
    <w:rsid w:val="000415B4"/>
    <w:rsid w:val="00044382"/>
    <w:rsid w:val="0004531D"/>
    <w:rsid w:val="0004600A"/>
    <w:rsid w:val="00046930"/>
    <w:rsid w:val="00046A6A"/>
    <w:rsid w:val="00046EB2"/>
    <w:rsid w:val="00051B11"/>
    <w:rsid w:val="000523F9"/>
    <w:rsid w:val="00052CC6"/>
    <w:rsid w:val="00052DE3"/>
    <w:rsid w:val="00053208"/>
    <w:rsid w:val="0005342B"/>
    <w:rsid w:val="00055183"/>
    <w:rsid w:val="00057FA3"/>
    <w:rsid w:val="000621A2"/>
    <w:rsid w:val="000636FC"/>
    <w:rsid w:val="00064BD3"/>
    <w:rsid w:val="000674B0"/>
    <w:rsid w:val="000675E7"/>
    <w:rsid w:val="00067C0B"/>
    <w:rsid w:val="0007012F"/>
    <w:rsid w:val="00071392"/>
    <w:rsid w:val="00072CEB"/>
    <w:rsid w:val="00075055"/>
    <w:rsid w:val="00075B42"/>
    <w:rsid w:val="00077376"/>
    <w:rsid w:val="00077E67"/>
    <w:rsid w:val="00080070"/>
    <w:rsid w:val="00080CC6"/>
    <w:rsid w:val="000812F0"/>
    <w:rsid w:val="00082420"/>
    <w:rsid w:val="00084766"/>
    <w:rsid w:val="00084979"/>
    <w:rsid w:val="00084A08"/>
    <w:rsid w:val="00085335"/>
    <w:rsid w:val="00086092"/>
    <w:rsid w:val="00086AC4"/>
    <w:rsid w:val="00087759"/>
    <w:rsid w:val="00090EBB"/>
    <w:rsid w:val="0009226C"/>
    <w:rsid w:val="000922DB"/>
    <w:rsid w:val="0009255A"/>
    <w:rsid w:val="000933E7"/>
    <w:rsid w:val="00094894"/>
    <w:rsid w:val="0009689E"/>
    <w:rsid w:val="000975A8"/>
    <w:rsid w:val="000A1447"/>
    <w:rsid w:val="000A4E69"/>
    <w:rsid w:val="000A6EA2"/>
    <w:rsid w:val="000A7F3E"/>
    <w:rsid w:val="000B033C"/>
    <w:rsid w:val="000B0B96"/>
    <w:rsid w:val="000B10F3"/>
    <w:rsid w:val="000B1DF8"/>
    <w:rsid w:val="000B2AF9"/>
    <w:rsid w:val="000B4354"/>
    <w:rsid w:val="000B6091"/>
    <w:rsid w:val="000B60CA"/>
    <w:rsid w:val="000B61A7"/>
    <w:rsid w:val="000B66D4"/>
    <w:rsid w:val="000B678E"/>
    <w:rsid w:val="000B7FE7"/>
    <w:rsid w:val="000C0031"/>
    <w:rsid w:val="000C02DF"/>
    <w:rsid w:val="000C0893"/>
    <w:rsid w:val="000C0A10"/>
    <w:rsid w:val="000C202D"/>
    <w:rsid w:val="000C28C4"/>
    <w:rsid w:val="000C2EBA"/>
    <w:rsid w:val="000C4854"/>
    <w:rsid w:val="000C5062"/>
    <w:rsid w:val="000C6B47"/>
    <w:rsid w:val="000C7857"/>
    <w:rsid w:val="000D14CC"/>
    <w:rsid w:val="000D4BA1"/>
    <w:rsid w:val="000D7534"/>
    <w:rsid w:val="000D798D"/>
    <w:rsid w:val="000D7AFA"/>
    <w:rsid w:val="000E0197"/>
    <w:rsid w:val="000E05D3"/>
    <w:rsid w:val="000E182F"/>
    <w:rsid w:val="000E4567"/>
    <w:rsid w:val="000E4E45"/>
    <w:rsid w:val="000F04CB"/>
    <w:rsid w:val="000F0904"/>
    <w:rsid w:val="000F17F8"/>
    <w:rsid w:val="000F21B9"/>
    <w:rsid w:val="000F281C"/>
    <w:rsid w:val="000F416B"/>
    <w:rsid w:val="000F7171"/>
    <w:rsid w:val="000F7F49"/>
    <w:rsid w:val="00102897"/>
    <w:rsid w:val="00103668"/>
    <w:rsid w:val="00104C74"/>
    <w:rsid w:val="001053B6"/>
    <w:rsid w:val="001061DC"/>
    <w:rsid w:val="00106AC0"/>
    <w:rsid w:val="00107BFD"/>
    <w:rsid w:val="00110776"/>
    <w:rsid w:val="00112D1C"/>
    <w:rsid w:val="00114151"/>
    <w:rsid w:val="0011478B"/>
    <w:rsid w:val="001148F3"/>
    <w:rsid w:val="00114DE5"/>
    <w:rsid w:val="0011551D"/>
    <w:rsid w:val="001167EC"/>
    <w:rsid w:val="0011705C"/>
    <w:rsid w:val="0012006D"/>
    <w:rsid w:val="001220AB"/>
    <w:rsid w:val="00122839"/>
    <w:rsid w:val="001257F6"/>
    <w:rsid w:val="00125D78"/>
    <w:rsid w:val="00130342"/>
    <w:rsid w:val="0013034D"/>
    <w:rsid w:val="0013100F"/>
    <w:rsid w:val="00131CC9"/>
    <w:rsid w:val="00131E77"/>
    <w:rsid w:val="00131E97"/>
    <w:rsid w:val="00132812"/>
    <w:rsid w:val="00132DA8"/>
    <w:rsid w:val="00132E23"/>
    <w:rsid w:val="0013306F"/>
    <w:rsid w:val="0013338A"/>
    <w:rsid w:val="00133E24"/>
    <w:rsid w:val="00133EEB"/>
    <w:rsid w:val="00134060"/>
    <w:rsid w:val="00134AD3"/>
    <w:rsid w:val="00137519"/>
    <w:rsid w:val="00140BC6"/>
    <w:rsid w:val="00141668"/>
    <w:rsid w:val="001427B1"/>
    <w:rsid w:val="00143F3F"/>
    <w:rsid w:val="001448C5"/>
    <w:rsid w:val="00146E17"/>
    <w:rsid w:val="001471BD"/>
    <w:rsid w:val="0015053F"/>
    <w:rsid w:val="00151698"/>
    <w:rsid w:val="00153CEF"/>
    <w:rsid w:val="00160608"/>
    <w:rsid w:val="00160804"/>
    <w:rsid w:val="00161498"/>
    <w:rsid w:val="0016219D"/>
    <w:rsid w:val="001622D0"/>
    <w:rsid w:val="0016302E"/>
    <w:rsid w:val="001631B8"/>
    <w:rsid w:val="0016389A"/>
    <w:rsid w:val="00163ADC"/>
    <w:rsid w:val="00164B66"/>
    <w:rsid w:val="00166081"/>
    <w:rsid w:val="00167D44"/>
    <w:rsid w:val="00170F0E"/>
    <w:rsid w:val="00171371"/>
    <w:rsid w:val="00171950"/>
    <w:rsid w:val="00171BDF"/>
    <w:rsid w:val="00172176"/>
    <w:rsid w:val="00175085"/>
    <w:rsid w:val="00182AA4"/>
    <w:rsid w:val="00183044"/>
    <w:rsid w:val="001841DB"/>
    <w:rsid w:val="0018493F"/>
    <w:rsid w:val="0018516A"/>
    <w:rsid w:val="001855D9"/>
    <w:rsid w:val="001860A8"/>
    <w:rsid w:val="00186492"/>
    <w:rsid w:val="00190019"/>
    <w:rsid w:val="00190FB8"/>
    <w:rsid w:val="00191231"/>
    <w:rsid w:val="001923F8"/>
    <w:rsid w:val="001924AC"/>
    <w:rsid w:val="001935B7"/>
    <w:rsid w:val="00193D44"/>
    <w:rsid w:val="00195061"/>
    <w:rsid w:val="0019716D"/>
    <w:rsid w:val="001973C6"/>
    <w:rsid w:val="00197577"/>
    <w:rsid w:val="001A0B51"/>
    <w:rsid w:val="001A1F05"/>
    <w:rsid w:val="001A2686"/>
    <w:rsid w:val="001A3005"/>
    <w:rsid w:val="001A43A9"/>
    <w:rsid w:val="001A4CED"/>
    <w:rsid w:val="001A78AD"/>
    <w:rsid w:val="001A7DD7"/>
    <w:rsid w:val="001B0A5A"/>
    <w:rsid w:val="001B0AF7"/>
    <w:rsid w:val="001B1933"/>
    <w:rsid w:val="001B493E"/>
    <w:rsid w:val="001B495A"/>
    <w:rsid w:val="001B50AC"/>
    <w:rsid w:val="001B6750"/>
    <w:rsid w:val="001B7828"/>
    <w:rsid w:val="001C1F6A"/>
    <w:rsid w:val="001C37A6"/>
    <w:rsid w:val="001C44DA"/>
    <w:rsid w:val="001C5319"/>
    <w:rsid w:val="001C5E5F"/>
    <w:rsid w:val="001C6079"/>
    <w:rsid w:val="001C645A"/>
    <w:rsid w:val="001C76BD"/>
    <w:rsid w:val="001C7A61"/>
    <w:rsid w:val="001D157B"/>
    <w:rsid w:val="001D19C9"/>
    <w:rsid w:val="001D1A52"/>
    <w:rsid w:val="001D1DEB"/>
    <w:rsid w:val="001D2F98"/>
    <w:rsid w:val="001D3ECA"/>
    <w:rsid w:val="001D6B7C"/>
    <w:rsid w:val="001D77AF"/>
    <w:rsid w:val="001E028D"/>
    <w:rsid w:val="001E031E"/>
    <w:rsid w:val="001E0694"/>
    <w:rsid w:val="001E086C"/>
    <w:rsid w:val="001E1ECE"/>
    <w:rsid w:val="001E2FD4"/>
    <w:rsid w:val="001E39BD"/>
    <w:rsid w:val="001E41B0"/>
    <w:rsid w:val="001E41BF"/>
    <w:rsid w:val="001E4201"/>
    <w:rsid w:val="001E5CA8"/>
    <w:rsid w:val="001E6C60"/>
    <w:rsid w:val="001E7C93"/>
    <w:rsid w:val="001F0002"/>
    <w:rsid w:val="001F2820"/>
    <w:rsid w:val="001F2CB9"/>
    <w:rsid w:val="001F3296"/>
    <w:rsid w:val="001F463B"/>
    <w:rsid w:val="001F4CA1"/>
    <w:rsid w:val="001F58E0"/>
    <w:rsid w:val="001F5F47"/>
    <w:rsid w:val="001F6BD5"/>
    <w:rsid w:val="001F7518"/>
    <w:rsid w:val="00201941"/>
    <w:rsid w:val="00202447"/>
    <w:rsid w:val="00202505"/>
    <w:rsid w:val="00202D46"/>
    <w:rsid w:val="00204286"/>
    <w:rsid w:val="00206529"/>
    <w:rsid w:val="00206815"/>
    <w:rsid w:val="0020728B"/>
    <w:rsid w:val="00210BB3"/>
    <w:rsid w:val="002118B0"/>
    <w:rsid w:val="00211B18"/>
    <w:rsid w:val="0021375C"/>
    <w:rsid w:val="00214A84"/>
    <w:rsid w:val="00214EF6"/>
    <w:rsid w:val="00214FE0"/>
    <w:rsid w:val="00215480"/>
    <w:rsid w:val="002157DC"/>
    <w:rsid w:val="00215E76"/>
    <w:rsid w:val="002160A4"/>
    <w:rsid w:val="00217506"/>
    <w:rsid w:val="0022171D"/>
    <w:rsid w:val="0022195A"/>
    <w:rsid w:val="002248F5"/>
    <w:rsid w:val="002264A7"/>
    <w:rsid w:val="00231124"/>
    <w:rsid w:val="002315FE"/>
    <w:rsid w:val="00231DB1"/>
    <w:rsid w:val="00233AD9"/>
    <w:rsid w:val="0023498B"/>
    <w:rsid w:val="0023692A"/>
    <w:rsid w:val="00240CB1"/>
    <w:rsid w:val="00241B74"/>
    <w:rsid w:val="00242031"/>
    <w:rsid w:val="00242A2B"/>
    <w:rsid w:val="00242A3C"/>
    <w:rsid w:val="00242B9A"/>
    <w:rsid w:val="00242D7E"/>
    <w:rsid w:val="00243C19"/>
    <w:rsid w:val="00244FDC"/>
    <w:rsid w:val="00246186"/>
    <w:rsid w:val="0025192B"/>
    <w:rsid w:val="002530AB"/>
    <w:rsid w:val="0025376A"/>
    <w:rsid w:val="00253D34"/>
    <w:rsid w:val="00254002"/>
    <w:rsid w:val="002540EF"/>
    <w:rsid w:val="00255800"/>
    <w:rsid w:val="00256428"/>
    <w:rsid w:val="00261420"/>
    <w:rsid w:val="002625FF"/>
    <w:rsid w:val="00262B93"/>
    <w:rsid w:val="00263CA0"/>
    <w:rsid w:val="002658EA"/>
    <w:rsid w:val="00266403"/>
    <w:rsid w:val="00267E70"/>
    <w:rsid w:val="002707D9"/>
    <w:rsid w:val="00270C89"/>
    <w:rsid w:val="00271489"/>
    <w:rsid w:val="00272608"/>
    <w:rsid w:val="002726F9"/>
    <w:rsid w:val="00273B87"/>
    <w:rsid w:val="0027414D"/>
    <w:rsid w:val="00274A64"/>
    <w:rsid w:val="002752F6"/>
    <w:rsid w:val="00275472"/>
    <w:rsid w:val="00275DEF"/>
    <w:rsid w:val="00276EF9"/>
    <w:rsid w:val="00281B6B"/>
    <w:rsid w:val="0028391A"/>
    <w:rsid w:val="002843C1"/>
    <w:rsid w:val="002848F6"/>
    <w:rsid w:val="00285367"/>
    <w:rsid w:val="00287DC9"/>
    <w:rsid w:val="00290D8C"/>
    <w:rsid w:val="00291635"/>
    <w:rsid w:val="00294330"/>
    <w:rsid w:val="00294EB5"/>
    <w:rsid w:val="00295AB2"/>
    <w:rsid w:val="00295E29"/>
    <w:rsid w:val="00297F7D"/>
    <w:rsid w:val="002A0524"/>
    <w:rsid w:val="002A1ACF"/>
    <w:rsid w:val="002A26EE"/>
    <w:rsid w:val="002A331D"/>
    <w:rsid w:val="002A4378"/>
    <w:rsid w:val="002A470D"/>
    <w:rsid w:val="002A51CD"/>
    <w:rsid w:val="002A57D0"/>
    <w:rsid w:val="002A6751"/>
    <w:rsid w:val="002A6C98"/>
    <w:rsid w:val="002A755C"/>
    <w:rsid w:val="002A7E28"/>
    <w:rsid w:val="002B057D"/>
    <w:rsid w:val="002B09FE"/>
    <w:rsid w:val="002B2D8F"/>
    <w:rsid w:val="002B4E3A"/>
    <w:rsid w:val="002B56D6"/>
    <w:rsid w:val="002B6A1F"/>
    <w:rsid w:val="002B6BBC"/>
    <w:rsid w:val="002B7025"/>
    <w:rsid w:val="002B7C93"/>
    <w:rsid w:val="002C0ECB"/>
    <w:rsid w:val="002C23BB"/>
    <w:rsid w:val="002C29EC"/>
    <w:rsid w:val="002C30B3"/>
    <w:rsid w:val="002C32E0"/>
    <w:rsid w:val="002C446D"/>
    <w:rsid w:val="002C5B0A"/>
    <w:rsid w:val="002C6B96"/>
    <w:rsid w:val="002C6BB9"/>
    <w:rsid w:val="002C7321"/>
    <w:rsid w:val="002C7904"/>
    <w:rsid w:val="002D1264"/>
    <w:rsid w:val="002D1F1C"/>
    <w:rsid w:val="002D2986"/>
    <w:rsid w:val="002D60BD"/>
    <w:rsid w:val="002D6125"/>
    <w:rsid w:val="002E03A5"/>
    <w:rsid w:val="002E056C"/>
    <w:rsid w:val="002E15A8"/>
    <w:rsid w:val="002E2723"/>
    <w:rsid w:val="002E3369"/>
    <w:rsid w:val="002E4DC4"/>
    <w:rsid w:val="002E606B"/>
    <w:rsid w:val="002F1805"/>
    <w:rsid w:val="002F243D"/>
    <w:rsid w:val="002F2958"/>
    <w:rsid w:val="002F2FA5"/>
    <w:rsid w:val="002F3AE2"/>
    <w:rsid w:val="002F4589"/>
    <w:rsid w:val="002F45D5"/>
    <w:rsid w:val="002F55B6"/>
    <w:rsid w:val="002F5873"/>
    <w:rsid w:val="002F5C6D"/>
    <w:rsid w:val="002F699C"/>
    <w:rsid w:val="002F6F1B"/>
    <w:rsid w:val="0030074B"/>
    <w:rsid w:val="00301C16"/>
    <w:rsid w:val="00302471"/>
    <w:rsid w:val="0030299F"/>
    <w:rsid w:val="00303A26"/>
    <w:rsid w:val="00303C57"/>
    <w:rsid w:val="00305A0F"/>
    <w:rsid w:val="00306110"/>
    <w:rsid w:val="00306435"/>
    <w:rsid w:val="003067BC"/>
    <w:rsid w:val="00311381"/>
    <w:rsid w:val="00312A1C"/>
    <w:rsid w:val="003145D4"/>
    <w:rsid w:val="00315674"/>
    <w:rsid w:val="00315A20"/>
    <w:rsid w:val="00315E48"/>
    <w:rsid w:val="00317723"/>
    <w:rsid w:val="00321AFC"/>
    <w:rsid w:val="00323B43"/>
    <w:rsid w:val="003258E4"/>
    <w:rsid w:val="00325C1B"/>
    <w:rsid w:val="0032713A"/>
    <w:rsid w:val="00327341"/>
    <w:rsid w:val="0032769D"/>
    <w:rsid w:val="00331C91"/>
    <w:rsid w:val="003327F8"/>
    <w:rsid w:val="00334A7A"/>
    <w:rsid w:val="003362D9"/>
    <w:rsid w:val="00336AC1"/>
    <w:rsid w:val="0033781C"/>
    <w:rsid w:val="00340124"/>
    <w:rsid w:val="003402EC"/>
    <w:rsid w:val="00340891"/>
    <w:rsid w:val="00340B5A"/>
    <w:rsid w:val="00341724"/>
    <w:rsid w:val="0034194B"/>
    <w:rsid w:val="003436C0"/>
    <w:rsid w:val="003439CC"/>
    <w:rsid w:val="00343F46"/>
    <w:rsid w:val="003446A1"/>
    <w:rsid w:val="003458F9"/>
    <w:rsid w:val="00347585"/>
    <w:rsid w:val="00347675"/>
    <w:rsid w:val="00352435"/>
    <w:rsid w:val="00352832"/>
    <w:rsid w:val="00352A51"/>
    <w:rsid w:val="003532A4"/>
    <w:rsid w:val="003534C1"/>
    <w:rsid w:val="0035421E"/>
    <w:rsid w:val="00357DB3"/>
    <w:rsid w:val="00357F34"/>
    <w:rsid w:val="003645E8"/>
    <w:rsid w:val="00364C07"/>
    <w:rsid w:val="003652BE"/>
    <w:rsid w:val="00367E58"/>
    <w:rsid w:val="00370528"/>
    <w:rsid w:val="003720DF"/>
    <w:rsid w:val="00373964"/>
    <w:rsid w:val="00373A06"/>
    <w:rsid w:val="00374964"/>
    <w:rsid w:val="003763A6"/>
    <w:rsid w:val="003769C6"/>
    <w:rsid w:val="00376B13"/>
    <w:rsid w:val="00380652"/>
    <w:rsid w:val="003806E3"/>
    <w:rsid w:val="0038242A"/>
    <w:rsid w:val="003826D2"/>
    <w:rsid w:val="0038431A"/>
    <w:rsid w:val="00386972"/>
    <w:rsid w:val="003872BD"/>
    <w:rsid w:val="00390391"/>
    <w:rsid w:val="00390957"/>
    <w:rsid w:val="00390F9B"/>
    <w:rsid w:val="00393E09"/>
    <w:rsid w:val="003965A5"/>
    <w:rsid w:val="003978FB"/>
    <w:rsid w:val="00397F92"/>
    <w:rsid w:val="003A179F"/>
    <w:rsid w:val="003A2E3B"/>
    <w:rsid w:val="003A3749"/>
    <w:rsid w:val="003A3BF9"/>
    <w:rsid w:val="003A530A"/>
    <w:rsid w:val="003A5682"/>
    <w:rsid w:val="003A651D"/>
    <w:rsid w:val="003A6B97"/>
    <w:rsid w:val="003B1A94"/>
    <w:rsid w:val="003B1C7B"/>
    <w:rsid w:val="003B1F11"/>
    <w:rsid w:val="003B2988"/>
    <w:rsid w:val="003B51EA"/>
    <w:rsid w:val="003B5853"/>
    <w:rsid w:val="003B5B15"/>
    <w:rsid w:val="003B7452"/>
    <w:rsid w:val="003B7992"/>
    <w:rsid w:val="003C00F3"/>
    <w:rsid w:val="003C0328"/>
    <w:rsid w:val="003C08DB"/>
    <w:rsid w:val="003C31C0"/>
    <w:rsid w:val="003C3B85"/>
    <w:rsid w:val="003C3C1F"/>
    <w:rsid w:val="003C6030"/>
    <w:rsid w:val="003C6D6B"/>
    <w:rsid w:val="003C7C0C"/>
    <w:rsid w:val="003C7D9D"/>
    <w:rsid w:val="003D157A"/>
    <w:rsid w:val="003D1658"/>
    <w:rsid w:val="003D2D08"/>
    <w:rsid w:val="003D37D8"/>
    <w:rsid w:val="003D3D57"/>
    <w:rsid w:val="003D42C5"/>
    <w:rsid w:val="003D4486"/>
    <w:rsid w:val="003D4506"/>
    <w:rsid w:val="003D5F1F"/>
    <w:rsid w:val="003D68BD"/>
    <w:rsid w:val="003E0A4F"/>
    <w:rsid w:val="003E0BF5"/>
    <w:rsid w:val="003E2953"/>
    <w:rsid w:val="003E3D85"/>
    <w:rsid w:val="003E4AF8"/>
    <w:rsid w:val="003E4FD3"/>
    <w:rsid w:val="003E504A"/>
    <w:rsid w:val="003E5050"/>
    <w:rsid w:val="003E536A"/>
    <w:rsid w:val="003E53D5"/>
    <w:rsid w:val="003E6147"/>
    <w:rsid w:val="003E71E8"/>
    <w:rsid w:val="003F05A1"/>
    <w:rsid w:val="003F1351"/>
    <w:rsid w:val="003F2D35"/>
    <w:rsid w:val="003F2EAC"/>
    <w:rsid w:val="003F61E6"/>
    <w:rsid w:val="004010A5"/>
    <w:rsid w:val="00402342"/>
    <w:rsid w:val="004039F3"/>
    <w:rsid w:val="00404E66"/>
    <w:rsid w:val="00404E75"/>
    <w:rsid w:val="004065B5"/>
    <w:rsid w:val="00407D43"/>
    <w:rsid w:val="004113B8"/>
    <w:rsid w:val="004113E0"/>
    <w:rsid w:val="004115BC"/>
    <w:rsid w:val="0041425D"/>
    <w:rsid w:val="004167DC"/>
    <w:rsid w:val="00416E49"/>
    <w:rsid w:val="00417EA9"/>
    <w:rsid w:val="00417F7D"/>
    <w:rsid w:val="004215BC"/>
    <w:rsid w:val="004246A7"/>
    <w:rsid w:val="00425343"/>
    <w:rsid w:val="00426133"/>
    <w:rsid w:val="0042716C"/>
    <w:rsid w:val="00427821"/>
    <w:rsid w:val="004357AC"/>
    <w:rsid w:val="004358AB"/>
    <w:rsid w:val="00437441"/>
    <w:rsid w:val="00444E0D"/>
    <w:rsid w:val="00445A3B"/>
    <w:rsid w:val="0044601F"/>
    <w:rsid w:val="0045075F"/>
    <w:rsid w:val="004510BE"/>
    <w:rsid w:val="00452AF9"/>
    <w:rsid w:val="00453320"/>
    <w:rsid w:val="00453A13"/>
    <w:rsid w:val="00455812"/>
    <w:rsid w:val="00456038"/>
    <w:rsid w:val="00457518"/>
    <w:rsid w:val="00462AD7"/>
    <w:rsid w:val="00464836"/>
    <w:rsid w:val="00465675"/>
    <w:rsid w:val="00466124"/>
    <w:rsid w:val="00466274"/>
    <w:rsid w:val="00466C79"/>
    <w:rsid w:val="004677C1"/>
    <w:rsid w:val="00471A4A"/>
    <w:rsid w:val="00472291"/>
    <w:rsid w:val="004728EA"/>
    <w:rsid w:val="00474A42"/>
    <w:rsid w:val="0047609A"/>
    <w:rsid w:val="00476325"/>
    <w:rsid w:val="00482B88"/>
    <w:rsid w:val="0048484E"/>
    <w:rsid w:val="004859DC"/>
    <w:rsid w:val="00486D00"/>
    <w:rsid w:val="00486FAD"/>
    <w:rsid w:val="004904C8"/>
    <w:rsid w:val="00490FC6"/>
    <w:rsid w:val="00490FE4"/>
    <w:rsid w:val="004916B6"/>
    <w:rsid w:val="00491D5E"/>
    <w:rsid w:val="00493840"/>
    <w:rsid w:val="004948C3"/>
    <w:rsid w:val="00494AFC"/>
    <w:rsid w:val="0049662C"/>
    <w:rsid w:val="00496EE0"/>
    <w:rsid w:val="004A034C"/>
    <w:rsid w:val="004A0661"/>
    <w:rsid w:val="004A2105"/>
    <w:rsid w:val="004A42E1"/>
    <w:rsid w:val="004A4419"/>
    <w:rsid w:val="004A63FA"/>
    <w:rsid w:val="004B178A"/>
    <w:rsid w:val="004B37C1"/>
    <w:rsid w:val="004B3943"/>
    <w:rsid w:val="004B5845"/>
    <w:rsid w:val="004B7F0F"/>
    <w:rsid w:val="004C1162"/>
    <w:rsid w:val="004C11FF"/>
    <w:rsid w:val="004C1335"/>
    <w:rsid w:val="004C3D44"/>
    <w:rsid w:val="004C6029"/>
    <w:rsid w:val="004C6B5E"/>
    <w:rsid w:val="004C6DFF"/>
    <w:rsid w:val="004D02DC"/>
    <w:rsid w:val="004D099E"/>
    <w:rsid w:val="004D1133"/>
    <w:rsid w:val="004D24C0"/>
    <w:rsid w:val="004D38B6"/>
    <w:rsid w:val="004D4059"/>
    <w:rsid w:val="004D55DA"/>
    <w:rsid w:val="004D592D"/>
    <w:rsid w:val="004D649F"/>
    <w:rsid w:val="004D64CC"/>
    <w:rsid w:val="004D7E64"/>
    <w:rsid w:val="004D7E7C"/>
    <w:rsid w:val="004E0009"/>
    <w:rsid w:val="004E0A7B"/>
    <w:rsid w:val="004E16CA"/>
    <w:rsid w:val="004E1D2A"/>
    <w:rsid w:val="004E2F38"/>
    <w:rsid w:val="004E325D"/>
    <w:rsid w:val="004E4181"/>
    <w:rsid w:val="004E52F0"/>
    <w:rsid w:val="004E69D2"/>
    <w:rsid w:val="004F16A0"/>
    <w:rsid w:val="004F3ED8"/>
    <w:rsid w:val="004F468C"/>
    <w:rsid w:val="004F4708"/>
    <w:rsid w:val="004F70BD"/>
    <w:rsid w:val="0050013F"/>
    <w:rsid w:val="005003FD"/>
    <w:rsid w:val="00501B63"/>
    <w:rsid w:val="00501F9D"/>
    <w:rsid w:val="005025E2"/>
    <w:rsid w:val="005028C9"/>
    <w:rsid w:val="005040DE"/>
    <w:rsid w:val="0050787D"/>
    <w:rsid w:val="005102C1"/>
    <w:rsid w:val="005131B3"/>
    <w:rsid w:val="005157DA"/>
    <w:rsid w:val="005158B3"/>
    <w:rsid w:val="00517676"/>
    <w:rsid w:val="00521117"/>
    <w:rsid w:val="00522783"/>
    <w:rsid w:val="005234DB"/>
    <w:rsid w:val="005254FB"/>
    <w:rsid w:val="00525F31"/>
    <w:rsid w:val="00526B22"/>
    <w:rsid w:val="00527262"/>
    <w:rsid w:val="0052781E"/>
    <w:rsid w:val="00530179"/>
    <w:rsid w:val="0053204D"/>
    <w:rsid w:val="00533E22"/>
    <w:rsid w:val="00534DA8"/>
    <w:rsid w:val="00535D02"/>
    <w:rsid w:val="00537665"/>
    <w:rsid w:val="005400FE"/>
    <w:rsid w:val="00540323"/>
    <w:rsid w:val="00540718"/>
    <w:rsid w:val="00541634"/>
    <w:rsid w:val="00541B29"/>
    <w:rsid w:val="00541F2B"/>
    <w:rsid w:val="00541F6A"/>
    <w:rsid w:val="00542D51"/>
    <w:rsid w:val="00545439"/>
    <w:rsid w:val="0055128D"/>
    <w:rsid w:val="005515C4"/>
    <w:rsid w:val="00552320"/>
    <w:rsid w:val="00552E42"/>
    <w:rsid w:val="00552ED2"/>
    <w:rsid w:val="005536BB"/>
    <w:rsid w:val="00553E74"/>
    <w:rsid w:val="00556CD6"/>
    <w:rsid w:val="005600DB"/>
    <w:rsid w:val="0056045E"/>
    <w:rsid w:val="005628EE"/>
    <w:rsid w:val="00562C17"/>
    <w:rsid w:val="00563E3D"/>
    <w:rsid w:val="005669FD"/>
    <w:rsid w:val="00567DA1"/>
    <w:rsid w:val="005700C1"/>
    <w:rsid w:val="00570388"/>
    <w:rsid w:val="00570F8A"/>
    <w:rsid w:val="00574007"/>
    <w:rsid w:val="00576FEA"/>
    <w:rsid w:val="005774FF"/>
    <w:rsid w:val="00577C90"/>
    <w:rsid w:val="005810FA"/>
    <w:rsid w:val="00581629"/>
    <w:rsid w:val="0058315C"/>
    <w:rsid w:val="00586674"/>
    <w:rsid w:val="00587CC6"/>
    <w:rsid w:val="00590F99"/>
    <w:rsid w:val="00591391"/>
    <w:rsid w:val="00592246"/>
    <w:rsid w:val="00594279"/>
    <w:rsid w:val="005A1A16"/>
    <w:rsid w:val="005A2113"/>
    <w:rsid w:val="005A2643"/>
    <w:rsid w:val="005A40A4"/>
    <w:rsid w:val="005A5133"/>
    <w:rsid w:val="005A5E0A"/>
    <w:rsid w:val="005B14C1"/>
    <w:rsid w:val="005B29B5"/>
    <w:rsid w:val="005B4058"/>
    <w:rsid w:val="005B445D"/>
    <w:rsid w:val="005B5850"/>
    <w:rsid w:val="005B5FC8"/>
    <w:rsid w:val="005C0551"/>
    <w:rsid w:val="005C518B"/>
    <w:rsid w:val="005C51B9"/>
    <w:rsid w:val="005C5910"/>
    <w:rsid w:val="005C717A"/>
    <w:rsid w:val="005C7DC0"/>
    <w:rsid w:val="005D0087"/>
    <w:rsid w:val="005D033B"/>
    <w:rsid w:val="005D051A"/>
    <w:rsid w:val="005D16C7"/>
    <w:rsid w:val="005D1DD2"/>
    <w:rsid w:val="005D27B8"/>
    <w:rsid w:val="005D2ABD"/>
    <w:rsid w:val="005D361D"/>
    <w:rsid w:val="005D3B9F"/>
    <w:rsid w:val="005D4974"/>
    <w:rsid w:val="005D562F"/>
    <w:rsid w:val="005D5AE6"/>
    <w:rsid w:val="005D68FC"/>
    <w:rsid w:val="005E00FC"/>
    <w:rsid w:val="005E175F"/>
    <w:rsid w:val="005E4261"/>
    <w:rsid w:val="005F170E"/>
    <w:rsid w:val="005F284C"/>
    <w:rsid w:val="005F3421"/>
    <w:rsid w:val="005F420C"/>
    <w:rsid w:val="005F60C8"/>
    <w:rsid w:val="005F7F24"/>
    <w:rsid w:val="00601705"/>
    <w:rsid w:val="006018E0"/>
    <w:rsid w:val="00601E42"/>
    <w:rsid w:val="00602A8C"/>
    <w:rsid w:val="006033DA"/>
    <w:rsid w:val="00603C9E"/>
    <w:rsid w:val="00603FC7"/>
    <w:rsid w:val="006074A5"/>
    <w:rsid w:val="006107E7"/>
    <w:rsid w:val="0061310A"/>
    <w:rsid w:val="0061663B"/>
    <w:rsid w:val="00616C6B"/>
    <w:rsid w:val="006208A4"/>
    <w:rsid w:val="00620CF3"/>
    <w:rsid w:val="00621043"/>
    <w:rsid w:val="00621C0C"/>
    <w:rsid w:val="00621DF1"/>
    <w:rsid w:val="006221EB"/>
    <w:rsid w:val="006229DE"/>
    <w:rsid w:val="00624599"/>
    <w:rsid w:val="006258E0"/>
    <w:rsid w:val="00625A2A"/>
    <w:rsid w:val="006277D2"/>
    <w:rsid w:val="006278CC"/>
    <w:rsid w:val="00630158"/>
    <w:rsid w:val="006310DD"/>
    <w:rsid w:val="00631171"/>
    <w:rsid w:val="006317F2"/>
    <w:rsid w:val="0063207B"/>
    <w:rsid w:val="0063222A"/>
    <w:rsid w:val="006337F7"/>
    <w:rsid w:val="00635270"/>
    <w:rsid w:val="00635764"/>
    <w:rsid w:val="006363B1"/>
    <w:rsid w:val="00640103"/>
    <w:rsid w:val="006428D5"/>
    <w:rsid w:val="00643CD2"/>
    <w:rsid w:val="0064617F"/>
    <w:rsid w:val="00646941"/>
    <w:rsid w:val="00646D6A"/>
    <w:rsid w:val="0064776D"/>
    <w:rsid w:val="0065042C"/>
    <w:rsid w:val="00652BFB"/>
    <w:rsid w:val="00652F68"/>
    <w:rsid w:val="006537EB"/>
    <w:rsid w:val="00656AB7"/>
    <w:rsid w:val="00656E4D"/>
    <w:rsid w:val="00662696"/>
    <w:rsid w:val="00664473"/>
    <w:rsid w:val="00665634"/>
    <w:rsid w:val="006658E6"/>
    <w:rsid w:val="00670343"/>
    <w:rsid w:val="00671347"/>
    <w:rsid w:val="006735F6"/>
    <w:rsid w:val="006743A7"/>
    <w:rsid w:val="006747E0"/>
    <w:rsid w:val="00675465"/>
    <w:rsid w:val="006766B4"/>
    <w:rsid w:val="00680623"/>
    <w:rsid w:val="00681706"/>
    <w:rsid w:val="006824BE"/>
    <w:rsid w:val="00682E53"/>
    <w:rsid w:val="006835F1"/>
    <w:rsid w:val="00684610"/>
    <w:rsid w:val="006860F6"/>
    <w:rsid w:val="006861F9"/>
    <w:rsid w:val="00686314"/>
    <w:rsid w:val="00686848"/>
    <w:rsid w:val="00686A65"/>
    <w:rsid w:val="00687180"/>
    <w:rsid w:val="00690674"/>
    <w:rsid w:val="00690C90"/>
    <w:rsid w:val="006918FA"/>
    <w:rsid w:val="00691B1B"/>
    <w:rsid w:val="00692330"/>
    <w:rsid w:val="00694B64"/>
    <w:rsid w:val="006959A9"/>
    <w:rsid w:val="006A0733"/>
    <w:rsid w:val="006A0E5C"/>
    <w:rsid w:val="006A1831"/>
    <w:rsid w:val="006A1E01"/>
    <w:rsid w:val="006A1E5B"/>
    <w:rsid w:val="006A242B"/>
    <w:rsid w:val="006A345D"/>
    <w:rsid w:val="006A3FB4"/>
    <w:rsid w:val="006A4642"/>
    <w:rsid w:val="006A4BB0"/>
    <w:rsid w:val="006A4BE2"/>
    <w:rsid w:val="006A5748"/>
    <w:rsid w:val="006A632F"/>
    <w:rsid w:val="006B02C1"/>
    <w:rsid w:val="006B22DC"/>
    <w:rsid w:val="006B28FD"/>
    <w:rsid w:val="006B2C41"/>
    <w:rsid w:val="006B37E5"/>
    <w:rsid w:val="006B3B97"/>
    <w:rsid w:val="006B3C2D"/>
    <w:rsid w:val="006B5188"/>
    <w:rsid w:val="006B6582"/>
    <w:rsid w:val="006B6BFC"/>
    <w:rsid w:val="006B7B69"/>
    <w:rsid w:val="006C197F"/>
    <w:rsid w:val="006C1B80"/>
    <w:rsid w:val="006C30E6"/>
    <w:rsid w:val="006C37BA"/>
    <w:rsid w:val="006C5441"/>
    <w:rsid w:val="006C5C29"/>
    <w:rsid w:val="006C76FE"/>
    <w:rsid w:val="006D3444"/>
    <w:rsid w:val="006D36ED"/>
    <w:rsid w:val="006D3D8D"/>
    <w:rsid w:val="006D3F61"/>
    <w:rsid w:val="006D4037"/>
    <w:rsid w:val="006D52D8"/>
    <w:rsid w:val="006D5814"/>
    <w:rsid w:val="006D7A03"/>
    <w:rsid w:val="006E0116"/>
    <w:rsid w:val="006E0CF9"/>
    <w:rsid w:val="006E1381"/>
    <w:rsid w:val="006E4FCE"/>
    <w:rsid w:val="006E57AF"/>
    <w:rsid w:val="006E5D73"/>
    <w:rsid w:val="006E6246"/>
    <w:rsid w:val="006F0886"/>
    <w:rsid w:val="006F10C7"/>
    <w:rsid w:val="006F112A"/>
    <w:rsid w:val="006F1A87"/>
    <w:rsid w:val="006F2BAE"/>
    <w:rsid w:val="006F36B2"/>
    <w:rsid w:val="006F3DCA"/>
    <w:rsid w:val="006F3F28"/>
    <w:rsid w:val="006F43B8"/>
    <w:rsid w:val="00702063"/>
    <w:rsid w:val="007025B2"/>
    <w:rsid w:val="00702C2D"/>
    <w:rsid w:val="007051FF"/>
    <w:rsid w:val="00705653"/>
    <w:rsid w:val="00706A70"/>
    <w:rsid w:val="00707964"/>
    <w:rsid w:val="00710D69"/>
    <w:rsid w:val="007115AC"/>
    <w:rsid w:val="00711D30"/>
    <w:rsid w:val="00712B90"/>
    <w:rsid w:val="00713719"/>
    <w:rsid w:val="00713A32"/>
    <w:rsid w:val="00714E8E"/>
    <w:rsid w:val="007162EF"/>
    <w:rsid w:val="00720B4C"/>
    <w:rsid w:val="00720CBF"/>
    <w:rsid w:val="00721B35"/>
    <w:rsid w:val="00723354"/>
    <w:rsid w:val="00723E8D"/>
    <w:rsid w:val="007253EE"/>
    <w:rsid w:val="00725786"/>
    <w:rsid w:val="00726A14"/>
    <w:rsid w:val="00727481"/>
    <w:rsid w:val="007275F8"/>
    <w:rsid w:val="00727948"/>
    <w:rsid w:val="00727CE9"/>
    <w:rsid w:val="00727DC6"/>
    <w:rsid w:val="00731B27"/>
    <w:rsid w:val="007324D4"/>
    <w:rsid w:val="007336AA"/>
    <w:rsid w:val="00734CC7"/>
    <w:rsid w:val="00737D0E"/>
    <w:rsid w:val="00737E41"/>
    <w:rsid w:val="00740DF8"/>
    <w:rsid w:val="00741854"/>
    <w:rsid w:val="007418B6"/>
    <w:rsid w:val="00742D97"/>
    <w:rsid w:val="007439C9"/>
    <w:rsid w:val="0074561B"/>
    <w:rsid w:val="00745953"/>
    <w:rsid w:val="00745C6A"/>
    <w:rsid w:val="00746131"/>
    <w:rsid w:val="0074763B"/>
    <w:rsid w:val="00750F1B"/>
    <w:rsid w:val="007515ED"/>
    <w:rsid w:val="00751F46"/>
    <w:rsid w:val="00753BB1"/>
    <w:rsid w:val="0075412A"/>
    <w:rsid w:val="00754D0F"/>
    <w:rsid w:val="00754D84"/>
    <w:rsid w:val="00755561"/>
    <w:rsid w:val="00755A2F"/>
    <w:rsid w:val="00755B2A"/>
    <w:rsid w:val="00755D14"/>
    <w:rsid w:val="00755D3E"/>
    <w:rsid w:val="00757F76"/>
    <w:rsid w:val="00761BB1"/>
    <w:rsid w:val="007627A7"/>
    <w:rsid w:val="00762A22"/>
    <w:rsid w:val="00762BB5"/>
    <w:rsid w:val="007641F6"/>
    <w:rsid w:val="00765AE2"/>
    <w:rsid w:val="00770368"/>
    <w:rsid w:val="00770CA1"/>
    <w:rsid w:val="00770F5D"/>
    <w:rsid w:val="00771562"/>
    <w:rsid w:val="00782A59"/>
    <w:rsid w:val="00783A8B"/>
    <w:rsid w:val="00783BA7"/>
    <w:rsid w:val="00783CA3"/>
    <w:rsid w:val="00783EE3"/>
    <w:rsid w:val="007847C8"/>
    <w:rsid w:val="00784924"/>
    <w:rsid w:val="00785AA4"/>
    <w:rsid w:val="00787B2D"/>
    <w:rsid w:val="0079261F"/>
    <w:rsid w:val="0079330C"/>
    <w:rsid w:val="007946B6"/>
    <w:rsid w:val="00794FEC"/>
    <w:rsid w:val="00795374"/>
    <w:rsid w:val="007A0D9F"/>
    <w:rsid w:val="007A6152"/>
    <w:rsid w:val="007A6636"/>
    <w:rsid w:val="007A684F"/>
    <w:rsid w:val="007A6C26"/>
    <w:rsid w:val="007A7EEA"/>
    <w:rsid w:val="007B3504"/>
    <w:rsid w:val="007B52ED"/>
    <w:rsid w:val="007B5771"/>
    <w:rsid w:val="007B5A9A"/>
    <w:rsid w:val="007B5B39"/>
    <w:rsid w:val="007B6001"/>
    <w:rsid w:val="007B657B"/>
    <w:rsid w:val="007C11B0"/>
    <w:rsid w:val="007C1FE3"/>
    <w:rsid w:val="007C2182"/>
    <w:rsid w:val="007C4076"/>
    <w:rsid w:val="007C632C"/>
    <w:rsid w:val="007C661A"/>
    <w:rsid w:val="007C7BDA"/>
    <w:rsid w:val="007D1397"/>
    <w:rsid w:val="007D182D"/>
    <w:rsid w:val="007D1EF7"/>
    <w:rsid w:val="007D1F87"/>
    <w:rsid w:val="007D3871"/>
    <w:rsid w:val="007D38D4"/>
    <w:rsid w:val="007D543B"/>
    <w:rsid w:val="007D732C"/>
    <w:rsid w:val="007D73EC"/>
    <w:rsid w:val="007D76BD"/>
    <w:rsid w:val="007E3A9E"/>
    <w:rsid w:val="007E49DB"/>
    <w:rsid w:val="007E4CB6"/>
    <w:rsid w:val="007E563B"/>
    <w:rsid w:val="007E7B07"/>
    <w:rsid w:val="007F1DA6"/>
    <w:rsid w:val="007F1EF9"/>
    <w:rsid w:val="007F221F"/>
    <w:rsid w:val="007F2234"/>
    <w:rsid w:val="007F2D3E"/>
    <w:rsid w:val="007F4473"/>
    <w:rsid w:val="007F6252"/>
    <w:rsid w:val="008002FD"/>
    <w:rsid w:val="00800735"/>
    <w:rsid w:val="008024B6"/>
    <w:rsid w:val="008079D8"/>
    <w:rsid w:val="00811031"/>
    <w:rsid w:val="00811BB8"/>
    <w:rsid w:val="00815F60"/>
    <w:rsid w:val="00820CB7"/>
    <w:rsid w:val="00821503"/>
    <w:rsid w:val="00822C95"/>
    <w:rsid w:val="00824D22"/>
    <w:rsid w:val="00824DDB"/>
    <w:rsid w:val="00825960"/>
    <w:rsid w:val="00826DAD"/>
    <w:rsid w:val="008303CD"/>
    <w:rsid w:val="0083045F"/>
    <w:rsid w:val="00830C3F"/>
    <w:rsid w:val="00831B1C"/>
    <w:rsid w:val="00831CE2"/>
    <w:rsid w:val="00832985"/>
    <w:rsid w:val="00833285"/>
    <w:rsid w:val="00836304"/>
    <w:rsid w:val="008364FE"/>
    <w:rsid w:val="008375E3"/>
    <w:rsid w:val="00837D81"/>
    <w:rsid w:val="008414B5"/>
    <w:rsid w:val="008447FD"/>
    <w:rsid w:val="00846921"/>
    <w:rsid w:val="0084733E"/>
    <w:rsid w:val="00847870"/>
    <w:rsid w:val="00850DDA"/>
    <w:rsid w:val="00851078"/>
    <w:rsid w:val="008511D2"/>
    <w:rsid w:val="008516D0"/>
    <w:rsid w:val="00851F6F"/>
    <w:rsid w:val="0085238B"/>
    <w:rsid w:val="00852421"/>
    <w:rsid w:val="0085361D"/>
    <w:rsid w:val="008577AD"/>
    <w:rsid w:val="0086038A"/>
    <w:rsid w:val="008603CB"/>
    <w:rsid w:val="00860935"/>
    <w:rsid w:val="00861878"/>
    <w:rsid w:val="00861C1C"/>
    <w:rsid w:val="00861C33"/>
    <w:rsid w:val="008640EC"/>
    <w:rsid w:val="0086481A"/>
    <w:rsid w:val="00866996"/>
    <w:rsid w:val="00866D3C"/>
    <w:rsid w:val="00866D5F"/>
    <w:rsid w:val="008706C3"/>
    <w:rsid w:val="008713DB"/>
    <w:rsid w:val="00873F1B"/>
    <w:rsid w:val="00874B22"/>
    <w:rsid w:val="00880FEA"/>
    <w:rsid w:val="00881B9A"/>
    <w:rsid w:val="00881C4F"/>
    <w:rsid w:val="0088292D"/>
    <w:rsid w:val="008830B1"/>
    <w:rsid w:val="008837B8"/>
    <w:rsid w:val="008845CE"/>
    <w:rsid w:val="00884F7E"/>
    <w:rsid w:val="00885DA3"/>
    <w:rsid w:val="008867C7"/>
    <w:rsid w:val="00886EA7"/>
    <w:rsid w:val="00886F4C"/>
    <w:rsid w:val="00887659"/>
    <w:rsid w:val="008918A8"/>
    <w:rsid w:val="0089278F"/>
    <w:rsid w:val="00893018"/>
    <w:rsid w:val="008933E8"/>
    <w:rsid w:val="00895CAB"/>
    <w:rsid w:val="00896157"/>
    <w:rsid w:val="008972FA"/>
    <w:rsid w:val="00897790"/>
    <w:rsid w:val="008A1E25"/>
    <w:rsid w:val="008A3499"/>
    <w:rsid w:val="008A5054"/>
    <w:rsid w:val="008B0242"/>
    <w:rsid w:val="008B32B9"/>
    <w:rsid w:val="008B3585"/>
    <w:rsid w:val="008B4635"/>
    <w:rsid w:val="008B53D6"/>
    <w:rsid w:val="008B6278"/>
    <w:rsid w:val="008B7726"/>
    <w:rsid w:val="008B7B39"/>
    <w:rsid w:val="008C2B3E"/>
    <w:rsid w:val="008C3517"/>
    <w:rsid w:val="008C3873"/>
    <w:rsid w:val="008C632C"/>
    <w:rsid w:val="008C6546"/>
    <w:rsid w:val="008C68C9"/>
    <w:rsid w:val="008C7544"/>
    <w:rsid w:val="008C7D29"/>
    <w:rsid w:val="008D09BF"/>
    <w:rsid w:val="008D09C1"/>
    <w:rsid w:val="008D2D71"/>
    <w:rsid w:val="008D2F0C"/>
    <w:rsid w:val="008D30EE"/>
    <w:rsid w:val="008D45EB"/>
    <w:rsid w:val="008D6B79"/>
    <w:rsid w:val="008D6C21"/>
    <w:rsid w:val="008D776A"/>
    <w:rsid w:val="008E5D5C"/>
    <w:rsid w:val="008E6F1A"/>
    <w:rsid w:val="008E7A63"/>
    <w:rsid w:val="008F08EC"/>
    <w:rsid w:val="008F53EC"/>
    <w:rsid w:val="008F55D3"/>
    <w:rsid w:val="008F7101"/>
    <w:rsid w:val="008F7508"/>
    <w:rsid w:val="00901F9B"/>
    <w:rsid w:val="009030E7"/>
    <w:rsid w:val="00903412"/>
    <w:rsid w:val="009041CF"/>
    <w:rsid w:val="009079AD"/>
    <w:rsid w:val="0091054F"/>
    <w:rsid w:val="00910669"/>
    <w:rsid w:val="00911588"/>
    <w:rsid w:val="009145A7"/>
    <w:rsid w:val="00914C85"/>
    <w:rsid w:val="00920D22"/>
    <w:rsid w:val="0092161D"/>
    <w:rsid w:val="00921891"/>
    <w:rsid w:val="00921AD0"/>
    <w:rsid w:val="00922440"/>
    <w:rsid w:val="00924267"/>
    <w:rsid w:val="00924877"/>
    <w:rsid w:val="00924B7C"/>
    <w:rsid w:val="00925DCE"/>
    <w:rsid w:val="009265F3"/>
    <w:rsid w:val="0092700A"/>
    <w:rsid w:val="009306BE"/>
    <w:rsid w:val="009316BE"/>
    <w:rsid w:val="00933026"/>
    <w:rsid w:val="00936D5B"/>
    <w:rsid w:val="00937719"/>
    <w:rsid w:val="00937735"/>
    <w:rsid w:val="00937E5C"/>
    <w:rsid w:val="00941B13"/>
    <w:rsid w:val="009438B7"/>
    <w:rsid w:val="00943A68"/>
    <w:rsid w:val="00945481"/>
    <w:rsid w:val="00946E23"/>
    <w:rsid w:val="009502BD"/>
    <w:rsid w:val="009556FB"/>
    <w:rsid w:val="009559A7"/>
    <w:rsid w:val="00956439"/>
    <w:rsid w:val="0095718C"/>
    <w:rsid w:val="00957F11"/>
    <w:rsid w:val="009608BB"/>
    <w:rsid w:val="00961D30"/>
    <w:rsid w:val="00961F1A"/>
    <w:rsid w:val="009624F4"/>
    <w:rsid w:val="00962EB7"/>
    <w:rsid w:val="00964535"/>
    <w:rsid w:val="00964CB1"/>
    <w:rsid w:val="00965AF7"/>
    <w:rsid w:val="009677E8"/>
    <w:rsid w:val="00971020"/>
    <w:rsid w:val="00971252"/>
    <w:rsid w:val="0097127B"/>
    <w:rsid w:val="00973012"/>
    <w:rsid w:val="00974102"/>
    <w:rsid w:val="00974A01"/>
    <w:rsid w:val="00974BDC"/>
    <w:rsid w:val="0097563C"/>
    <w:rsid w:val="009762A3"/>
    <w:rsid w:val="00981250"/>
    <w:rsid w:val="00983680"/>
    <w:rsid w:val="00983A45"/>
    <w:rsid w:val="00983D9D"/>
    <w:rsid w:val="00985C35"/>
    <w:rsid w:val="0098745B"/>
    <w:rsid w:val="0098778B"/>
    <w:rsid w:val="00987EF7"/>
    <w:rsid w:val="00990436"/>
    <w:rsid w:val="00990FA5"/>
    <w:rsid w:val="0099189D"/>
    <w:rsid w:val="00991B0D"/>
    <w:rsid w:val="00991F8C"/>
    <w:rsid w:val="00993896"/>
    <w:rsid w:val="00993F11"/>
    <w:rsid w:val="00995D08"/>
    <w:rsid w:val="00997295"/>
    <w:rsid w:val="00997E49"/>
    <w:rsid w:val="009A2970"/>
    <w:rsid w:val="009A4065"/>
    <w:rsid w:val="009A4851"/>
    <w:rsid w:val="009A5A9D"/>
    <w:rsid w:val="009A5FCB"/>
    <w:rsid w:val="009A7C47"/>
    <w:rsid w:val="009A7F09"/>
    <w:rsid w:val="009B02AF"/>
    <w:rsid w:val="009B2E99"/>
    <w:rsid w:val="009B3503"/>
    <w:rsid w:val="009B35E7"/>
    <w:rsid w:val="009B36FB"/>
    <w:rsid w:val="009B5AB3"/>
    <w:rsid w:val="009B6694"/>
    <w:rsid w:val="009B6D89"/>
    <w:rsid w:val="009B7469"/>
    <w:rsid w:val="009C1288"/>
    <w:rsid w:val="009C212F"/>
    <w:rsid w:val="009C2280"/>
    <w:rsid w:val="009D0BAA"/>
    <w:rsid w:val="009D25F3"/>
    <w:rsid w:val="009D3E6C"/>
    <w:rsid w:val="009D540C"/>
    <w:rsid w:val="009D543E"/>
    <w:rsid w:val="009D630E"/>
    <w:rsid w:val="009D7C43"/>
    <w:rsid w:val="009E03C0"/>
    <w:rsid w:val="009E1214"/>
    <w:rsid w:val="009E20BE"/>
    <w:rsid w:val="009E2423"/>
    <w:rsid w:val="009E5493"/>
    <w:rsid w:val="009E5BBA"/>
    <w:rsid w:val="009F3B99"/>
    <w:rsid w:val="009F3BD9"/>
    <w:rsid w:val="009F4965"/>
    <w:rsid w:val="009F497E"/>
    <w:rsid w:val="009F6B6F"/>
    <w:rsid w:val="009F6CF1"/>
    <w:rsid w:val="00A00CC9"/>
    <w:rsid w:val="00A012C9"/>
    <w:rsid w:val="00A01A52"/>
    <w:rsid w:val="00A01B1D"/>
    <w:rsid w:val="00A01FEE"/>
    <w:rsid w:val="00A02409"/>
    <w:rsid w:val="00A027DE"/>
    <w:rsid w:val="00A02E31"/>
    <w:rsid w:val="00A037D0"/>
    <w:rsid w:val="00A0382D"/>
    <w:rsid w:val="00A04D53"/>
    <w:rsid w:val="00A065F2"/>
    <w:rsid w:val="00A07E13"/>
    <w:rsid w:val="00A10DF4"/>
    <w:rsid w:val="00A143DE"/>
    <w:rsid w:val="00A15ADD"/>
    <w:rsid w:val="00A24DCC"/>
    <w:rsid w:val="00A26DDC"/>
    <w:rsid w:val="00A26E7F"/>
    <w:rsid w:val="00A27677"/>
    <w:rsid w:val="00A30A64"/>
    <w:rsid w:val="00A311E0"/>
    <w:rsid w:val="00A3259B"/>
    <w:rsid w:val="00A33DEE"/>
    <w:rsid w:val="00A35750"/>
    <w:rsid w:val="00A35BCA"/>
    <w:rsid w:val="00A379B2"/>
    <w:rsid w:val="00A379E4"/>
    <w:rsid w:val="00A40426"/>
    <w:rsid w:val="00A426F1"/>
    <w:rsid w:val="00A42EAB"/>
    <w:rsid w:val="00A444E5"/>
    <w:rsid w:val="00A454E6"/>
    <w:rsid w:val="00A4602B"/>
    <w:rsid w:val="00A4647E"/>
    <w:rsid w:val="00A46E94"/>
    <w:rsid w:val="00A47580"/>
    <w:rsid w:val="00A47768"/>
    <w:rsid w:val="00A47B35"/>
    <w:rsid w:val="00A505E0"/>
    <w:rsid w:val="00A514E6"/>
    <w:rsid w:val="00A517DB"/>
    <w:rsid w:val="00A52155"/>
    <w:rsid w:val="00A52CA2"/>
    <w:rsid w:val="00A53249"/>
    <w:rsid w:val="00A55133"/>
    <w:rsid w:val="00A552B0"/>
    <w:rsid w:val="00A56F52"/>
    <w:rsid w:val="00A57058"/>
    <w:rsid w:val="00A57E80"/>
    <w:rsid w:val="00A61438"/>
    <w:rsid w:val="00A62BB7"/>
    <w:rsid w:val="00A64268"/>
    <w:rsid w:val="00A64B62"/>
    <w:rsid w:val="00A64E73"/>
    <w:rsid w:val="00A67651"/>
    <w:rsid w:val="00A70AA3"/>
    <w:rsid w:val="00A70F56"/>
    <w:rsid w:val="00A7310A"/>
    <w:rsid w:val="00A74005"/>
    <w:rsid w:val="00A75095"/>
    <w:rsid w:val="00A80F6D"/>
    <w:rsid w:val="00A815F2"/>
    <w:rsid w:val="00A81E53"/>
    <w:rsid w:val="00A82059"/>
    <w:rsid w:val="00A83092"/>
    <w:rsid w:val="00A83682"/>
    <w:rsid w:val="00A8438C"/>
    <w:rsid w:val="00A856A6"/>
    <w:rsid w:val="00A8666B"/>
    <w:rsid w:val="00A87403"/>
    <w:rsid w:val="00A90518"/>
    <w:rsid w:val="00A905DD"/>
    <w:rsid w:val="00A91938"/>
    <w:rsid w:val="00A922ED"/>
    <w:rsid w:val="00A92A4A"/>
    <w:rsid w:val="00A944B3"/>
    <w:rsid w:val="00A94B98"/>
    <w:rsid w:val="00A95E68"/>
    <w:rsid w:val="00A975E9"/>
    <w:rsid w:val="00A97939"/>
    <w:rsid w:val="00AA020A"/>
    <w:rsid w:val="00AA0CDA"/>
    <w:rsid w:val="00AA1EFB"/>
    <w:rsid w:val="00AA2299"/>
    <w:rsid w:val="00AA36B4"/>
    <w:rsid w:val="00AA39E8"/>
    <w:rsid w:val="00AA4452"/>
    <w:rsid w:val="00AA466A"/>
    <w:rsid w:val="00AA61D6"/>
    <w:rsid w:val="00AA6CBC"/>
    <w:rsid w:val="00AA7350"/>
    <w:rsid w:val="00AB0F27"/>
    <w:rsid w:val="00AB28E1"/>
    <w:rsid w:val="00AB4019"/>
    <w:rsid w:val="00AB7AAE"/>
    <w:rsid w:val="00AC0A9A"/>
    <w:rsid w:val="00AC16BA"/>
    <w:rsid w:val="00AC1AB0"/>
    <w:rsid w:val="00AC2FF3"/>
    <w:rsid w:val="00AC352F"/>
    <w:rsid w:val="00AC5A9D"/>
    <w:rsid w:val="00AC7EDA"/>
    <w:rsid w:val="00AD01E2"/>
    <w:rsid w:val="00AD1D16"/>
    <w:rsid w:val="00AD213B"/>
    <w:rsid w:val="00AD39EC"/>
    <w:rsid w:val="00AD5419"/>
    <w:rsid w:val="00AD650A"/>
    <w:rsid w:val="00AD74B9"/>
    <w:rsid w:val="00AD7A2F"/>
    <w:rsid w:val="00AD7E0E"/>
    <w:rsid w:val="00AE14C8"/>
    <w:rsid w:val="00AE182F"/>
    <w:rsid w:val="00AE5F55"/>
    <w:rsid w:val="00AE7772"/>
    <w:rsid w:val="00AF0BA1"/>
    <w:rsid w:val="00AF112B"/>
    <w:rsid w:val="00AF18AB"/>
    <w:rsid w:val="00AF2F89"/>
    <w:rsid w:val="00AF32FB"/>
    <w:rsid w:val="00AF36FF"/>
    <w:rsid w:val="00AF403A"/>
    <w:rsid w:val="00AF54F6"/>
    <w:rsid w:val="00AF67FC"/>
    <w:rsid w:val="00AF68DA"/>
    <w:rsid w:val="00B0025B"/>
    <w:rsid w:val="00B009D6"/>
    <w:rsid w:val="00B00A42"/>
    <w:rsid w:val="00B00D5A"/>
    <w:rsid w:val="00B031AF"/>
    <w:rsid w:val="00B035D3"/>
    <w:rsid w:val="00B055D7"/>
    <w:rsid w:val="00B05D02"/>
    <w:rsid w:val="00B05DD4"/>
    <w:rsid w:val="00B06982"/>
    <w:rsid w:val="00B06F1F"/>
    <w:rsid w:val="00B07A32"/>
    <w:rsid w:val="00B114A3"/>
    <w:rsid w:val="00B13DC6"/>
    <w:rsid w:val="00B14795"/>
    <w:rsid w:val="00B14A22"/>
    <w:rsid w:val="00B15ABF"/>
    <w:rsid w:val="00B163B3"/>
    <w:rsid w:val="00B17732"/>
    <w:rsid w:val="00B20020"/>
    <w:rsid w:val="00B2173F"/>
    <w:rsid w:val="00B2191F"/>
    <w:rsid w:val="00B239AE"/>
    <w:rsid w:val="00B23F08"/>
    <w:rsid w:val="00B24077"/>
    <w:rsid w:val="00B25220"/>
    <w:rsid w:val="00B255BA"/>
    <w:rsid w:val="00B25B49"/>
    <w:rsid w:val="00B2631A"/>
    <w:rsid w:val="00B313FA"/>
    <w:rsid w:val="00B31A53"/>
    <w:rsid w:val="00B31E92"/>
    <w:rsid w:val="00B34C27"/>
    <w:rsid w:val="00B35864"/>
    <w:rsid w:val="00B36B73"/>
    <w:rsid w:val="00B36BE9"/>
    <w:rsid w:val="00B36FCC"/>
    <w:rsid w:val="00B37081"/>
    <w:rsid w:val="00B374D1"/>
    <w:rsid w:val="00B37951"/>
    <w:rsid w:val="00B415B3"/>
    <w:rsid w:val="00B422B3"/>
    <w:rsid w:val="00B42889"/>
    <w:rsid w:val="00B46617"/>
    <w:rsid w:val="00B46BF3"/>
    <w:rsid w:val="00B50090"/>
    <w:rsid w:val="00B50AFC"/>
    <w:rsid w:val="00B546E6"/>
    <w:rsid w:val="00B5529B"/>
    <w:rsid w:val="00B56F8B"/>
    <w:rsid w:val="00B57C8C"/>
    <w:rsid w:val="00B57E8A"/>
    <w:rsid w:val="00B62B84"/>
    <w:rsid w:val="00B62F87"/>
    <w:rsid w:val="00B637FB"/>
    <w:rsid w:val="00B63A6F"/>
    <w:rsid w:val="00B641AD"/>
    <w:rsid w:val="00B6518D"/>
    <w:rsid w:val="00B66988"/>
    <w:rsid w:val="00B66B39"/>
    <w:rsid w:val="00B67163"/>
    <w:rsid w:val="00B67353"/>
    <w:rsid w:val="00B715BA"/>
    <w:rsid w:val="00B721FE"/>
    <w:rsid w:val="00B72A05"/>
    <w:rsid w:val="00B73A47"/>
    <w:rsid w:val="00B776E6"/>
    <w:rsid w:val="00B778B8"/>
    <w:rsid w:val="00B83CB9"/>
    <w:rsid w:val="00B85DA7"/>
    <w:rsid w:val="00B85FD8"/>
    <w:rsid w:val="00B866C5"/>
    <w:rsid w:val="00B8719E"/>
    <w:rsid w:val="00B8729D"/>
    <w:rsid w:val="00B9060B"/>
    <w:rsid w:val="00B90A25"/>
    <w:rsid w:val="00B92CCA"/>
    <w:rsid w:val="00B92DD9"/>
    <w:rsid w:val="00B9419A"/>
    <w:rsid w:val="00B94DE6"/>
    <w:rsid w:val="00BA10DF"/>
    <w:rsid w:val="00BA5535"/>
    <w:rsid w:val="00BA5E68"/>
    <w:rsid w:val="00BB2455"/>
    <w:rsid w:val="00BB3707"/>
    <w:rsid w:val="00BC03C1"/>
    <w:rsid w:val="00BC537E"/>
    <w:rsid w:val="00BC55F6"/>
    <w:rsid w:val="00BC5851"/>
    <w:rsid w:val="00BC5E1E"/>
    <w:rsid w:val="00BC7393"/>
    <w:rsid w:val="00BD0050"/>
    <w:rsid w:val="00BD07D0"/>
    <w:rsid w:val="00BD1C35"/>
    <w:rsid w:val="00BD1C52"/>
    <w:rsid w:val="00BD3509"/>
    <w:rsid w:val="00BD3F0A"/>
    <w:rsid w:val="00BD4EA7"/>
    <w:rsid w:val="00BD5078"/>
    <w:rsid w:val="00BD5AEE"/>
    <w:rsid w:val="00BD7988"/>
    <w:rsid w:val="00BE07F9"/>
    <w:rsid w:val="00BE2ACE"/>
    <w:rsid w:val="00BE4226"/>
    <w:rsid w:val="00BE4ABA"/>
    <w:rsid w:val="00BE4C07"/>
    <w:rsid w:val="00BE56B1"/>
    <w:rsid w:val="00BE6517"/>
    <w:rsid w:val="00BE68CE"/>
    <w:rsid w:val="00BE6CD0"/>
    <w:rsid w:val="00BE7C97"/>
    <w:rsid w:val="00BF3C83"/>
    <w:rsid w:val="00BF3F5C"/>
    <w:rsid w:val="00BF42FD"/>
    <w:rsid w:val="00BF4456"/>
    <w:rsid w:val="00BF4CF3"/>
    <w:rsid w:val="00BF6837"/>
    <w:rsid w:val="00C0032D"/>
    <w:rsid w:val="00C00B96"/>
    <w:rsid w:val="00C018E4"/>
    <w:rsid w:val="00C027E6"/>
    <w:rsid w:val="00C02A63"/>
    <w:rsid w:val="00C045FB"/>
    <w:rsid w:val="00C05099"/>
    <w:rsid w:val="00C05F00"/>
    <w:rsid w:val="00C10A36"/>
    <w:rsid w:val="00C1149F"/>
    <w:rsid w:val="00C14801"/>
    <w:rsid w:val="00C15715"/>
    <w:rsid w:val="00C17E50"/>
    <w:rsid w:val="00C2011B"/>
    <w:rsid w:val="00C20A01"/>
    <w:rsid w:val="00C21458"/>
    <w:rsid w:val="00C21F34"/>
    <w:rsid w:val="00C242EE"/>
    <w:rsid w:val="00C243B7"/>
    <w:rsid w:val="00C2563D"/>
    <w:rsid w:val="00C2567E"/>
    <w:rsid w:val="00C258EF"/>
    <w:rsid w:val="00C2591C"/>
    <w:rsid w:val="00C26995"/>
    <w:rsid w:val="00C302CF"/>
    <w:rsid w:val="00C30AA4"/>
    <w:rsid w:val="00C31BC3"/>
    <w:rsid w:val="00C35F25"/>
    <w:rsid w:val="00C35F8C"/>
    <w:rsid w:val="00C3615B"/>
    <w:rsid w:val="00C379D0"/>
    <w:rsid w:val="00C4029E"/>
    <w:rsid w:val="00C40846"/>
    <w:rsid w:val="00C41332"/>
    <w:rsid w:val="00C418AF"/>
    <w:rsid w:val="00C41999"/>
    <w:rsid w:val="00C41E48"/>
    <w:rsid w:val="00C46717"/>
    <w:rsid w:val="00C47AD5"/>
    <w:rsid w:val="00C5256C"/>
    <w:rsid w:val="00C541F9"/>
    <w:rsid w:val="00C54567"/>
    <w:rsid w:val="00C56C07"/>
    <w:rsid w:val="00C57E29"/>
    <w:rsid w:val="00C604CA"/>
    <w:rsid w:val="00C60D2A"/>
    <w:rsid w:val="00C60E93"/>
    <w:rsid w:val="00C61E6E"/>
    <w:rsid w:val="00C62AE8"/>
    <w:rsid w:val="00C637C6"/>
    <w:rsid w:val="00C645EA"/>
    <w:rsid w:val="00C64FC5"/>
    <w:rsid w:val="00C66496"/>
    <w:rsid w:val="00C6748D"/>
    <w:rsid w:val="00C675D8"/>
    <w:rsid w:val="00C67691"/>
    <w:rsid w:val="00C702B5"/>
    <w:rsid w:val="00C70748"/>
    <w:rsid w:val="00C713FD"/>
    <w:rsid w:val="00C716C1"/>
    <w:rsid w:val="00C7327F"/>
    <w:rsid w:val="00C73D44"/>
    <w:rsid w:val="00C74753"/>
    <w:rsid w:val="00C756BA"/>
    <w:rsid w:val="00C75B7D"/>
    <w:rsid w:val="00C760AB"/>
    <w:rsid w:val="00C764B0"/>
    <w:rsid w:val="00C76746"/>
    <w:rsid w:val="00C76D9D"/>
    <w:rsid w:val="00C77411"/>
    <w:rsid w:val="00C77A63"/>
    <w:rsid w:val="00C80CA8"/>
    <w:rsid w:val="00C80D87"/>
    <w:rsid w:val="00C81E20"/>
    <w:rsid w:val="00C823C5"/>
    <w:rsid w:val="00C82DA9"/>
    <w:rsid w:val="00C82DC6"/>
    <w:rsid w:val="00C84CEE"/>
    <w:rsid w:val="00C862EF"/>
    <w:rsid w:val="00C86BFB"/>
    <w:rsid w:val="00C90C06"/>
    <w:rsid w:val="00C916A9"/>
    <w:rsid w:val="00C93BAC"/>
    <w:rsid w:val="00C96828"/>
    <w:rsid w:val="00C97277"/>
    <w:rsid w:val="00C97606"/>
    <w:rsid w:val="00C97FC6"/>
    <w:rsid w:val="00CA07BE"/>
    <w:rsid w:val="00CA0AAB"/>
    <w:rsid w:val="00CA1308"/>
    <w:rsid w:val="00CA4603"/>
    <w:rsid w:val="00CA7167"/>
    <w:rsid w:val="00CB1729"/>
    <w:rsid w:val="00CB280A"/>
    <w:rsid w:val="00CB2B88"/>
    <w:rsid w:val="00CB6565"/>
    <w:rsid w:val="00CB68EC"/>
    <w:rsid w:val="00CB6FE3"/>
    <w:rsid w:val="00CC005A"/>
    <w:rsid w:val="00CC0E98"/>
    <w:rsid w:val="00CC2468"/>
    <w:rsid w:val="00CC24AD"/>
    <w:rsid w:val="00CC2BB0"/>
    <w:rsid w:val="00CC3432"/>
    <w:rsid w:val="00CC4594"/>
    <w:rsid w:val="00CC6057"/>
    <w:rsid w:val="00CC6073"/>
    <w:rsid w:val="00CC62A5"/>
    <w:rsid w:val="00CC7390"/>
    <w:rsid w:val="00CD05B6"/>
    <w:rsid w:val="00CD0605"/>
    <w:rsid w:val="00CD0CA3"/>
    <w:rsid w:val="00CD1469"/>
    <w:rsid w:val="00CD1535"/>
    <w:rsid w:val="00CD3996"/>
    <w:rsid w:val="00CD427F"/>
    <w:rsid w:val="00CD50A9"/>
    <w:rsid w:val="00CD5815"/>
    <w:rsid w:val="00CD6328"/>
    <w:rsid w:val="00CD7A2C"/>
    <w:rsid w:val="00CE02CB"/>
    <w:rsid w:val="00CE2ABD"/>
    <w:rsid w:val="00CE35DE"/>
    <w:rsid w:val="00CE4405"/>
    <w:rsid w:val="00CE5FB7"/>
    <w:rsid w:val="00CE6D36"/>
    <w:rsid w:val="00CE6EBC"/>
    <w:rsid w:val="00CE7ED4"/>
    <w:rsid w:val="00CF1169"/>
    <w:rsid w:val="00CF1B8B"/>
    <w:rsid w:val="00CF26BF"/>
    <w:rsid w:val="00CF41FD"/>
    <w:rsid w:val="00CF4382"/>
    <w:rsid w:val="00CF4717"/>
    <w:rsid w:val="00CF61A0"/>
    <w:rsid w:val="00CF6BF4"/>
    <w:rsid w:val="00CF746A"/>
    <w:rsid w:val="00D00909"/>
    <w:rsid w:val="00D01669"/>
    <w:rsid w:val="00D01B20"/>
    <w:rsid w:val="00D030C7"/>
    <w:rsid w:val="00D075FF"/>
    <w:rsid w:val="00D141CC"/>
    <w:rsid w:val="00D15E28"/>
    <w:rsid w:val="00D16048"/>
    <w:rsid w:val="00D200AA"/>
    <w:rsid w:val="00D21C54"/>
    <w:rsid w:val="00D22B2E"/>
    <w:rsid w:val="00D22F29"/>
    <w:rsid w:val="00D23672"/>
    <w:rsid w:val="00D2592D"/>
    <w:rsid w:val="00D278F6"/>
    <w:rsid w:val="00D27971"/>
    <w:rsid w:val="00D31D50"/>
    <w:rsid w:val="00D32B82"/>
    <w:rsid w:val="00D32D21"/>
    <w:rsid w:val="00D33F7F"/>
    <w:rsid w:val="00D3438F"/>
    <w:rsid w:val="00D35B7D"/>
    <w:rsid w:val="00D35C1D"/>
    <w:rsid w:val="00D3742E"/>
    <w:rsid w:val="00D37CCA"/>
    <w:rsid w:val="00D4046F"/>
    <w:rsid w:val="00D414F1"/>
    <w:rsid w:val="00D41729"/>
    <w:rsid w:val="00D41BF2"/>
    <w:rsid w:val="00D4239E"/>
    <w:rsid w:val="00D43AAA"/>
    <w:rsid w:val="00D45306"/>
    <w:rsid w:val="00D476A7"/>
    <w:rsid w:val="00D500C6"/>
    <w:rsid w:val="00D50E78"/>
    <w:rsid w:val="00D52370"/>
    <w:rsid w:val="00D53918"/>
    <w:rsid w:val="00D541AF"/>
    <w:rsid w:val="00D56263"/>
    <w:rsid w:val="00D57422"/>
    <w:rsid w:val="00D57A4B"/>
    <w:rsid w:val="00D61535"/>
    <w:rsid w:val="00D620AE"/>
    <w:rsid w:val="00D6244C"/>
    <w:rsid w:val="00D6269D"/>
    <w:rsid w:val="00D641D8"/>
    <w:rsid w:val="00D667EE"/>
    <w:rsid w:val="00D677EA"/>
    <w:rsid w:val="00D71528"/>
    <w:rsid w:val="00D71B14"/>
    <w:rsid w:val="00D743BA"/>
    <w:rsid w:val="00D74936"/>
    <w:rsid w:val="00D74AE8"/>
    <w:rsid w:val="00D75098"/>
    <w:rsid w:val="00D76D31"/>
    <w:rsid w:val="00D77A27"/>
    <w:rsid w:val="00D8021A"/>
    <w:rsid w:val="00D824D3"/>
    <w:rsid w:val="00D82BF2"/>
    <w:rsid w:val="00D8570C"/>
    <w:rsid w:val="00D85AD7"/>
    <w:rsid w:val="00D86AAB"/>
    <w:rsid w:val="00D879E6"/>
    <w:rsid w:val="00D93968"/>
    <w:rsid w:val="00D94816"/>
    <w:rsid w:val="00D97BF4"/>
    <w:rsid w:val="00DA112A"/>
    <w:rsid w:val="00DA1352"/>
    <w:rsid w:val="00DA5430"/>
    <w:rsid w:val="00DA5B0E"/>
    <w:rsid w:val="00DA735C"/>
    <w:rsid w:val="00DB0087"/>
    <w:rsid w:val="00DB144D"/>
    <w:rsid w:val="00DB1DF8"/>
    <w:rsid w:val="00DB7E7A"/>
    <w:rsid w:val="00DC0D68"/>
    <w:rsid w:val="00DC1ABB"/>
    <w:rsid w:val="00DC23D6"/>
    <w:rsid w:val="00DC2871"/>
    <w:rsid w:val="00DC48A7"/>
    <w:rsid w:val="00DC5BFF"/>
    <w:rsid w:val="00DC64D5"/>
    <w:rsid w:val="00DC66F6"/>
    <w:rsid w:val="00DD023F"/>
    <w:rsid w:val="00DD153C"/>
    <w:rsid w:val="00DD5342"/>
    <w:rsid w:val="00DD6726"/>
    <w:rsid w:val="00DD69A7"/>
    <w:rsid w:val="00DD6B52"/>
    <w:rsid w:val="00DE0392"/>
    <w:rsid w:val="00DE0A3C"/>
    <w:rsid w:val="00DE1E90"/>
    <w:rsid w:val="00DE225D"/>
    <w:rsid w:val="00DE41EF"/>
    <w:rsid w:val="00DE4B79"/>
    <w:rsid w:val="00DE5AE4"/>
    <w:rsid w:val="00DE66B0"/>
    <w:rsid w:val="00DE6B93"/>
    <w:rsid w:val="00DF0D25"/>
    <w:rsid w:val="00DF1BA1"/>
    <w:rsid w:val="00DF24A7"/>
    <w:rsid w:val="00DF2BCB"/>
    <w:rsid w:val="00DF2DD8"/>
    <w:rsid w:val="00E0058B"/>
    <w:rsid w:val="00E0082E"/>
    <w:rsid w:val="00E01B5C"/>
    <w:rsid w:val="00E02B0C"/>
    <w:rsid w:val="00E04D35"/>
    <w:rsid w:val="00E06609"/>
    <w:rsid w:val="00E06CE3"/>
    <w:rsid w:val="00E06D56"/>
    <w:rsid w:val="00E07D03"/>
    <w:rsid w:val="00E07E45"/>
    <w:rsid w:val="00E12736"/>
    <w:rsid w:val="00E12D3D"/>
    <w:rsid w:val="00E16E93"/>
    <w:rsid w:val="00E172A1"/>
    <w:rsid w:val="00E179FF"/>
    <w:rsid w:val="00E22195"/>
    <w:rsid w:val="00E230F3"/>
    <w:rsid w:val="00E26BAC"/>
    <w:rsid w:val="00E3029F"/>
    <w:rsid w:val="00E3312C"/>
    <w:rsid w:val="00E3487E"/>
    <w:rsid w:val="00E37FC8"/>
    <w:rsid w:val="00E4128D"/>
    <w:rsid w:val="00E415D3"/>
    <w:rsid w:val="00E41A0A"/>
    <w:rsid w:val="00E42ED0"/>
    <w:rsid w:val="00E4315D"/>
    <w:rsid w:val="00E43FAC"/>
    <w:rsid w:val="00E448E7"/>
    <w:rsid w:val="00E4521F"/>
    <w:rsid w:val="00E456A3"/>
    <w:rsid w:val="00E46D4B"/>
    <w:rsid w:val="00E47B7B"/>
    <w:rsid w:val="00E5032F"/>
    <w:rsid w:val="00E524B0"/>
    <w:rsid w:val="00E53AA2"/>
    <w:rsid w:val="00E53F1C"/>
    <w:rsid w:val="00E56265"/>
    <w:rsid w:val="00E60344"/>
    <w:rsid w:val="00E6208D"/>
    <w:rsid w:val="00E63C21"/>
    <w:rsid w:val="00E64C53"/>
    <w:rsid w:val="00E658CB"/>
    <w:rsid w:val="00E65EDB"/>
    <w:rsid w:val="00E66593"/>
    <w:rsid w:val="00E6685B"/>
    <w:rsid w:val="00E67DE8"/>
    <w:rsid w:val="00E7068D"/>
    <w:rsid w:val="00E715EE"/>
    <w:rsid w:val="00E7290D"/>
    <w:rsid w:val="00E72A0C"/>
    <w:rsid w:val="00E746B9"/>
    <w:rsid w:val="00E750A3"/>
    <w:rsid w:val="00E757A0"/>
    <w:rsid w:val="00E75D25"/>
    <w:rsid w:val="00E769B8"/>
    <w:rsid w:val="00E827E9"/>
    <w:rsid w:val="00E82F48"/>
    <w:rsid w:val="00E85B98"/>
    <w:rsid w:val="00E86547"/>
    <w:rsid w:val="00E870D2"/>
    <w:rsid w:val="00E90F35"/>
    <w:rsid w:val="00E91AA8"/>
    <w:rsid w:val="00E92053"/>
    <w:rsid w:val="00E922BD"/>
    <w:rsid w:val="00E926E3"/>
    <w:rsid w:val="00E93377"/>
    <w:rsid w:val="00E93A01"/>
    <w:rsid w:val="00E95646"/>
    <w:rsid w:val="00E95661"/>
    <w:rsid w:val="00E95C89"/>
    <w:rsid w:val="00E95D18"/>
    <w:rsid w:val="00E9787F"/>
    <w:rsid w:val="00EA072E"/>
    <w:rsid w:val="00EA14ED"/>
    <w:rsid w:val="00EA28D3"/>
    <w:rsid w:val="00EA37CE"/>
    <w:rsid w:val="00EA3A1E"/>
    <w:rsid w:val="00EA63C1"/>
    <w:rsid w:val="00EA6685"/>
    <w:rsid w:val="00EA7169"/>
    <w:rsid w:val="00EB164C"/>
    <w:rsid w:val="00EB1ED9"/>
    <w:rsid w:val="00EB37F2"/>
    <w:rsid w:val="00EB4728"/>
    <w:rsid w:val="00EC22C8"/>
    <w:rsid w:val="00EC2311"/>
    <w:rsid w:val="00EC257C"/>
    <w:rsid w:val="00EC2687"/>
    <w:rsid w:val="00EC2A8B"/>
    <w:rsid w:val="00EC2E98"/>
    <w:rsid w:val="00EC42D8"/>
    <w:rsid w:val="00EC4FDD"/>
    <w:rsid w:val="00EC559E"/>
    <w:rsid w:val="00EC59B3"/>
    <w:rsid w:val="00EC5FB0"/>
    <w:rsid w:val="00EC658A"/>
    <w:rsid w:val="00ED10C8"/>
    <w:rsid w:val="00ED3C99"/>
    <w:rsid w:val="00ED4267"/>
    <w:rsid w:val="00ED4B2F"/>
    <w:rsid w:val="00ED555F"/>
    <w:rsid w:val="00ED6E55"/>
    <w:rsid w:val="00EE0C44"/>
    <w:rsid w:val="00EE235D"/>
    <w:rsid w:val="00EE554C"/>
    <w:rsid w:val="00EE56EC"/>
    <w:rsid w:val="00EE5DCD"/>
    <w:rsid w:val="00EE66E9"/>
    <w:rsid w:val="00EE7761"/>
    <w:rsid w:val="00EE7B54"/>
    <w:rsid w:val="00EF26BF"/>
    <w:rsid w:val="00EF3D12"/>
    <w:rsid w:val="00EF4ED4"/>
    <w:rsid w:val="00EF7680"/>
    <w:rsid w:val="00EF7ADA"/>
    <w:rsid w:val="00F0028E"/>
    <w:rsid w:val="00F005D8"/>
    <w:rsid w:val="00F0125A"/>
    <w:rsid w:val="00F01DBF"/>
    <w:rsid w:val="00F027FC"/>
    <w:rsid w:val="00F040FF"/>
    <w:rsid w:val="00F043CC"/>
    <w:rsid w:val="00F06D8F"/>
    <w:rsid w:val="00F075AB"/>
    <w:rsid w:val="00F1182F"/>
    <w:rsid w:val="00F1221E"/>
    <w:rsid w:val="00F12ECC"/>
    <w:rsid w:val="00F13D57"/>
    <w:rsid w:val="00F147C3"/>
    <w:rsid w:val="00F14838"/>
    <w:rsid w:val="00F17960"/>
    <w:rsid w:val="00F17B31"/>
    <w:rsid w:val="00F2011A"/>
    <w:rsid w:val="00F21F25"/>
    <w:rsid w:val="00F22ADA"/>
    <w:rsid w:val="00F23D6D"/>
    <w:rsid w:val="00F23F7D"/>
    <w:rsid w:val="00F25345"/>
    <w:rsid w:val="00F26852"/>
    <w:rsid w:val="00F26A81"/>
    <w:rsid w:val="00F27E07"/>
    <w:rsid w:val="00F32883"/>
    <w:rsid w:val="00F33639"/>
    <w:rsid w:val="00F33D8C"/>
    <w:rsid w:val="00F3426C"/>
    <w:rsid w:val="00F34F63"/>
    <w:rsid w:val="00F35197"/>
    <w:rsid w:val="00F351A2"/>
    <w:rsid w:val="00F352FC"/>
    <w:rsid w:val="00F35B0C"/>
    <w:rsid w:val="00F36A5F"/>
    <w:rsid w:val="00F406D8"/>
    <w:rsid w:val="00F425FE"/>
    <w:rsid w:val="00F42D30"/>
    <w:rsid w:val="00F42F61"/>
    <w:rsid w:val="00F4396E"/>
    <w:rsid w:val="00F45CC2"/>
    <w:rsid w:val="00F46353"/>
    <w:rsid w:val="00F47A82"/>
    <w:rsid w:val="00F47F23"/>
    <w:rsid w:val="00F50E73"/>
    <w:rsid w:val="00F510BF"/>
    <w:rsid w:val="00F53384"/>
    <w:rsid w:val="00F53B38"/>
    <w:rsid w:val="00F55E42"/>
    <w:rsid w:val="00F562D7"/>
    <w:rsid w:val="00F56C99"/>
    <w:rsid w:val="00F61EDE"/>
    <w:rsid w:val="00F63459"/>
    <w:rsid w:val="00F6394E"/>
    <w:rsid w:val="00F65182"/>
    <w:rsid w:val="00F671FF"/>
    <w:rsid w:val="00F67827"/>
    <w:rsid w:val="00F67E37"/>
    <w:rsid w:val="00F71657"/>
    <w:rsid w:val="00F71891"/>
    <w:rsid w:val="00F723E0"/>
    <w:rsid w:val="00F73BB5"/>
    <w:rsid w:val="00F73CE5"/>
    <w:rsid w:val="00F73EC8"/>
    <w:rsid w:val="00F758E2"/>
    <w:rsid w:val="00F76E61"/>
    <w:rsid w:val="00F771B6"/>
    <w:rsid w:val="00F84A02"/>
    <w:rsid w:val="00F84A8A"/>
    <w:rsid w:val="00F85330"/>
    <w:rsid w:val="00F86821"/>
    <w:rsid w:val="00F906C8"/>
    <w:rsid w:val="00F93D0C"/>
    <w:rsid w:val="00F97F85"/>
    <w:rsid w:val="00FA01D6"/>
    <w:rsid w:val="00FA1B08"/>
    <w:rsid w:val="00FA2782"/>
    <w:rsid w:val="00FA2AD0"/>
    <w:rsid w:val="00FA59DF"/>
    <w:rsid w:val="00FA6D0A"/>
    <w:rsid w:val="00FB0D54"/>
    <w:rsid w:val="00FB16DC"/>
    <w:rsid w:val="00FB195B"/>
    <w:rsid w:val="00FB1A7F"/>
    <w:rsid w:val="00FB2B73"/>
    <w:rsid w:val="00FB3968"/>
    <w:rsid w:val="00FB3F9D"/>
    <w:rsid w:val="00FB4427"/>
    <w:rsid w:val="00FB5B47"/>
    <w:rsid w:val="00FB5CBA"/>
    <w:rsid w:val="00FB62F6"/>
    <w:rsid w:val="00FB6D1E"/>
    <w:rsid w:val="00FB749C"/>
    <w:rsid w:val="00FB758A"/>
    <w:rsid w:val="00FC1C5B"/>
    <w:rsid w:val="00FC2EDE"/>
    <w:rsid w:val="00FC3092"/>
    <w:rsid w:val="00FC4F7E"/>
    <w:rsid w:val="00FC5892"/>
    <w:rsid w:val="00FD03B5"/>
    <w:rsid w:val="00FD062B"/>
    <w:rsid w:val="00FD0EA8"/>
    <w:rsid w:val="00FD1635"/>
    <w:rsid w:val="00FD25AA"/>
    <w:rsid w:val="00FD3A35"/>
    <w:rsid w:val="00FD4B35"/>
    <w:rsid w:val="00FD573C"/>
    <w:rsid w:val="00FD58AA"/>
    <w:rsid w:val="00FD5E0B"/>
    <w:rsid w:val="00FD64B7"/>
    <w:rsid w:val="00FD6F42"/>
    <w:rsid w:val="00FD7715"/>
    <w:rsid w:val="00FE103F"/>
    <w:rsid w:val="00FE2A4F"/>
    <w:rsid w:val="00FE2A72"/>
    <w:rsid w:val="00FE3175"/>
    <w:rsid w:val="00FE46AD"/>
    <w:rsid w:val="00FE48C8"/>
    <w:rsid w:val="00FE5435"/>
    <w:rsid w:val="00FE7E28"/>
    <w:rsid w:val="00FF1773"/>
    <w:rsid w:val="00FF2FB2"/>
    <w:rsid w:val="00FF3267"/>
    <w:rsid w:val="00FF3DD0"/>
    <w:rsid w:val="00FF4C80"/>
    <w:rsid w:val="00FF5567"/>
    <w:rsid w:val="00FF565C"/>
    <w:rsid w:val="00FF6787"/>
    <w:rsid w:val="00FF7B31"/>
    <w:rsid w:val="01145EB0"/>
    <w:rsid w:val="011A2685"/>
    <w:rsid w:val="01415248"/>
    <w:rsid w:val="02044234"/>
    <w:rsid w:val="02280175"/>
    <w:rsid w:val="02701CCF"/>
    <w:rsid w:val="02C430D2"/>
    <w:rsid w:val="02D65C99"/>
    <w:rsid w:val="039B7A75"/>
    <w:rsid w:val="03C517C2"/>
    <w:rsid w:val="03CD2C6A"/>
    <w:rsid w:val="03D87695"/>
    <w:rsid w:val="04085843"/>
    <w:rsid w:val="046110AC"/>
    <w:rsid w:val="04AC799D"/>
    <w:rsid w:val="05F155DE"/>
    <w:rsid w:val="06C21CB3"/>
    <w:rsid w:val="06F3090A"/>
    <w:rsid w:val="077A1201"/>
    <w:rsid w:val="08122BDF"/>
    <w:rsid w:val="084A230A"/>
    <w:rsid w:val="097C4EFF"/>
    <w:rsid w:val="09B80538"/>
    <w:rsid w:val="09C508D4"/>
    <w:rsid w:val="09E3783E"/>
    <w:rsid w:val="0A335A31"/>
    <w:rsid w:val="0A51262D"/>
    <w:rsid w:val="0A6B5301"/>
    <w:rsid w:val="0AD43EDB"/>
    <w:rsid w:val="0B4371E8"/>
    <w:rsid w:val="0B7E6EF5"/>
    <w:rsid w:val="0B900F7D"/>
    <w:rsid w:val="0CBB45C9"/>
    <w:rsid w:val="0CDA4AA0"/>
    <w:rsid w:val="0D122A4E"/>
    <w:rsid w:val="10107E1A"/>
    <w:rsid w:val="106464AB"/>
    <w:rsid w:val="109B6DE9"/>
    <w:rsid w:val="11712C4F"/>
    <w:rsid w:val="11DC7791"/>
    <w:rsid w:val="11E9108B"/>
    <w:rsid w:val="12B966CC"/>
    <w:rsid w:val="12D974ED"/>
    <w:rsid w:val="133704BB"/>
    <w:rsid w:val="13DE4251"/>
    <w:rsid w:val="140E415A"/>
    <w:rsid w:val="14E010F2"/>
    <w:rsid w:val="17056DCF"/>
    <w:rsid w:val="178E3F25"/>
    <w:rsid w:val="185A0EB6"/>
    <w:rsid w:val="18742A61"/>
    <w:rsid w:val="18B65778"/>
    <w:rsid w:val="18D21133"/>
    <w:rsid w:val="1ABF7604"/>
    <w:rsid w:val="1BD4591E"/>
    <w:rsid w:val="1C420851"/>
    <w:rsid w:val="1C7451AB"/>
    <w:rsid w:val="1C7518A0"/>
    <w:rsid w:val="1CF36391"/>
    <w:rsid w:val="1F562686"/>
    <w:rsid w:val="20A8264C"/>
    <w:rsid w:val="21A444BE"/>
    <w:rsid w:val="21C53F56"/>
    <w:rsid w:val="22AB0F4A"/>
    <w:rsid w:val="22AE5776"/>
    <w:rsid w:val="22C605CE"/>
    <w:rsid w:val="22F7191D"/>
    <w:rsid w:val="233513BB"/>
    <w:rsid w:val="236D18B5"/>
    <w:rsid w:val="2370678A"/>
    <w:rsid w:val="23D718F4"/>
    <w:rsid w:val="23DD34AF"/>
    <w:rsid w:val="25302ECD"/>
    <w:rsid w:val="255B5B49"/>
    <w:rsid w:val="26321AB7"/>
    <w:rsid w:val="267D3FAD"/>
    <w:rsid w:val="2716140B"/>
    <w:rsid w:val="27212045"/>
    <w:rsid w:val="27BD0382"/>
    <w:rsid w:val="2A4E33B8"/>
    <w:rsid w:val="2A82469E"/>
    <w:rsid w:val="2B154706"/>
    <w:rsid w:val="2B4F736F"/>
    <w:rsid w:val="2B5111C6"/>
    <w:rsid w:val="2B5B2FE1"/>
    <w:rsid w:val="2B7F37C3"/>
    <w:rsid w:val="2BDB5C6E"/>
    <w:rsid w:val="2C2C3F41"/>
    <w:rsid w:val="2C3C74E1"/>
    <w:rsid w:val="2CD9056C"/>
    <w:rsid w:val="2CF62667"/>
    <w:rsid w:val="2D4C4EB4"/>
    <w:rsid w:val="2E205920"/>
    <w:rsid w:val="2E4A7AE5"/>
    <w:rsid w:val="2E6414BA"/>
    <w:rsid w:val="2E9E47CB"/>
    <w:rsid w:val="2EFE5375"/>
    <w:rsid w:val="2F61520F"/>
    <w:rsid w:val="314562EC"/>
    <w:rsid w:val="316A1181"/>
    <w:rsid w:val="31DD590A"/>
    <w:rsid w:val="322669E7"/>
    <w:rsid w:val="324A1AF7"/>
    <w:rsid w:val="328037EE"/>
    <w:rsid w:val="33826D39"/>
    <w:rsid w:val="34292DE6"/>
    <w:rsid w:val="34DB7179"/>
    <w:rsid w:val="34E45F41"/>
    <w:rsid w:val="35BC5F6C"/>
    <w:rsid w:val="36412DAB"/>
    <w:rsid w:val="36BF7E97"/>
    <w:rsid w:val="36FD1FB9"/>
    <w:rsid w:val="37254A47"/>
    <w:rsid w:val="37587BDC"/>
    <w:rsid w:val="37AE3698"/>
    <w:rsid w:val="37AF1FE6"/>
    <w:rsid w:val="39313A38"/>
    <w:rsid w:val="399E308B"/>
    <w:rsid w:val="3A4E5379"/>
    <w:rsid w:val="3A89495F"/>
    <w:rsid w:val="3AD31264"/>
    <w:rsid w:val="3AF576F8"/>
    <w:rsid w:val="3BC77384"/>
    <w:rsid w:val="3DB64913"/>
    <w:rsid w:val="3DD91DDD"/>
    <w:rsid w:val="3E6423BC"/>
    <w:rsid w:val="3EA02D59"/>
    <w:rsid w:val="3EEA3B85"/>
    <w:rsid w:val="40886894"/>
    <w:rsid w:val="40C22F7C"/>
    <w:rsid w:val="43271B16"/>
    <w:rsid w:val="43C7655A"/>
    <w:rsid w:val="44010E72"/>
    <w:rsid w:val="44BE7FA8"/>
    <w:rsid w:val="44C54271"/>
    <w:rsid w:val="44D15DA5"/>
    <w:rsid w:val="45026D06"/>
    <w:rsid w:val="45583B43"/>
    <w:rsid w:val="457F4B0F"/>
    <w:rsid w:val="45F41C20"/>
    <w:rsid w:val="469D5E69"/>
    <w:rsid w:val="46E57F61"/>
    <w:rsid w:val="471A0045"/>
    <w:rsid w:val="47FA552D"/>
    <w:rsid w:val="48167C78"/>
    <w:rsid w:val="48771D18"/>
    <w:rsid w:val="489D3052"/>
    <w:rsid w:val="499E3415"/>
    <w:rsid w:val="49E326E6"/>
    <w:rsid w:val="4A2550CC"/>
    <w:rsid w:val="4A3D01C1"/>
    <w:rsid w:val="4A521054"/>
    <w:rsid w:val="4AEC5F4C"/>
    <w:rsid w:val="4D8F1D7E"/>
    <w:rsid w:val="4D9655ED"/>
    <w:rsid w:val="4D9838B4"/>
    <w:rsid w:val="4E465F4F"/>
    <w:rsid w:val="4F12448A"/>
    <w:rsid w:val="4FE7023D"/>
    <w:rsid w:val="4FED5ACF"/>
    <w:rsid w:val="51245B59"/>
    <w:rsid w:val="51313591"/>
    <w:rsid w:val="518F47E5"/>
    <w:rsid w:val="51E24AD0"/>
    <w:rsid w:val="523820D3"/>
    <w:rsid w:val="52FC592A"/>
    <w:rsid w:val="53255B7F"/>
    <w:rsid w:val="53F7072A"/>
    <w:rsid w:val="560A4926"/>
    <w:rsid w:val="5634458D"/>
    <w:rsid w:val="569D0980"/>
    <w:rsid w:val="573B3B05"/>
    <w:rsid w:val="578512AA"/>
    <w:rsid w:val="57E249DD"/>
    <w:rsid w:val="58F40003"/>
    <w:rsid w:val="599E27F1"/>
    <w:rsid w:val="59CE45ED"/>
    <w:rsid w:val="5AB42513"/>
    <w:rsid w:val="5AC346AB"/>
    <w:rsid w:val="5AF26196"/>
    <w:rsid w:val="5B446B51"/>
    <w:rsid w:val="5C3954ED"/>
    <w:rsid w:val="5C9F4F7D"/>
    <w:rsid w:val="5D1A5825"/>
    <w:rsid w:val="5E225777"/>
    <w:rsid w:val="5E422F54"/>
    <w:rsid w:val="5FC92199"/>
    <w:rsid w:val="5FDA79DE"/>
    <w:rsid w:val="60EE498B"/>
    <w:rsid w:val="61021865"/>
    <w:rsid w:val="611B3AA2"/>
    <w:rsid w:val="61A742DC"/>
    <w:rsid w:val="61BC6EC4"/>
    <w:rsid w:val="621E7B8C"/>
    <w:rsid w:val="62204BD4"/>
    <w:rsid w:val="62355971"/>
    <w:rsid w:val="62953383"/>
    <w:rsid w:val="62FB051E"/>
    <w:rsid w:val="63FA0637"/>
    <w:rsid w:val="6525654D"/>
    <w:rsid w:val="65472FF3"/>
    <w:rsid w:val="65BF2E72"/>
    <w:rsid w:val="669129C5"/>
    <w:rsid w:val="67541E91"/>
    <w:rsid w:val="67F56944"/>
    <w:rsid w:val="68B96FA4"/>
    <w:rsid w:val="6A275DB9"/>
    <w:rsid w:val="6AF659CC"/>
    <w:rsid w:val="6B8C452E"/>
    <w:rsid w:val="6B8F7610"/>
    <w:rsid w:val="6B931946"/>
    <w:rsid w:val="6BD562CD"/>
    <w:rsid w:val="6BE80DE5"/>
    <w:rsid w:val="6D481B10"/>
    <w:rsid w:val="6D5B2163"/>
    <w:rsid w:val="6E61037D"/>
    <w:rsid w:val="6EB56F40"/>
    <w:rsid w:val="6F8F6A8E"/>
    <w:rsid w:val="6FCA4D9C"/>
    <w:rsid w:val="6FE7280D"/>
    <w:rsid w:val="702F3405"/>
    <w:rsid w:val="70705D42"/>
    <w:rsid w:val="70AB6C30"/>
    <w:rsid w:val="70B40E7D"/>
    <w:rsid w:val="71892F17"/>
    <w:rsid w:val="722953B6"/>
    <w:rsid w:val="725303BC"/>
    <w:rsid w:val="72807C8E"/>
    <w:rsid w:val="72C73697"/>
    <w:rsid w:val="733625E0"/>
    <w:rsid w:val="734E530A"/>
    <w:rsid w:val="737C5804"/>
    <w:rsid w:val="73B32922"/>
    <w:rsid w:val="7412573F"/>
    <w:rsid w:val="75237AE5"/>
    <w:rsid w:val="75733F7B"/>
    <w:rsid w:val="75E46D63"/>
    <w:rsid w:val="7665505F"/>
    <w:rsid w:val="78934940"/>
    <w:rsid w:val="78E30367"/>
    <w:rsid w:val="78F619E1"/>
    <w:rsid w:val="79C1797E"/>
    <w:rsid w:val="7A553466"/>
    <w:rsid w:val="7A5D77D0"/>
    <w:rsid w:val="7AD03992"/>
    <w:rsid w:val="7BDA1DB0"/>
    <w:rsid w:val="7C3A137D"/>
    <w:rsid w:val="7C3F2AA5"/>
    <w:rsid w:val="7C510C12"/>
    <w:rsid w:val="7CB8131E"/>
    <w:rsid w:val="7CEF3A18"/>
    <w:rsid w:val="7E870929"/>
    <w:rsid w:val="7E8E16A9"/>
    <w:rsid w:val="7FC17776"/>
    <w:rsid w:val="7FE43EEE"/>
    <w:rsid w:val="7FE91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0" w:line="440" w:lineRule="exact"/>
      <w:ind w:firstLine="200" w:firstLineChars="200"/>
      <w:jc w:val="both"/>
    </w:pPr>
    <w:rPr>
      <w:rFonts w:ascii="Times New Roman" w:hAnsi="Times New Roman" w:eastAsia="宋体" w:cstheme="minorBidi"/>
      <w:sz w:val="24"/>
      <w:szCs w:val="22"/>
      <w:lang w:val="en-US" w:eastAsia="zh-CN" w:bidi="ar-SA"/>
    </w:rPr>
  </w:style>
  <w:style w:type="paragraph" w:styleId="4">
    <w:name w:val="heading 1"/>
    <w:basedOn w:val="1"/>
    <w:next w:val="1"/>
    <w:link w:val="25"/>
    <w:qFormat/>
    <w:uiPriority w:val="9"/>
    <w:pPr>
      <w:keepNext/>
      <w:keepLines/>
      <w:spacing w:before="340" w:after="330"/>
      <w:ind w:firstLine="0" w:firstLineChars="0"/>
      <w:outlineLvl w:val="0"/>
    </w:pPr>
    <w:rPr>
      <w:rFonts w:eastAsia="黑体"/>
      <w:b/>
      <w:bCs/>
      <w:kern w:val="44"/>
      <w:szCs w:val="44"/>
    </w:rPr>
  </w:style>
  <w:style w:type="paragraph" w:styleId="5">
    <w:name w:val="heading 2"/>
    <w:basedOn w:val="1"/>
    <w:next w:val="1"/>
    <w:link w:val="29"/>
    <w:unhideWhenUsed/>
    <w:qFormat/>
    <w:uiPriority w:val="9"/>
    <w:pPr>
      <w:keepNext/>
      <w:keepLines/>
      <w:spacing w:before="260" w:after="260"/>
      <w:ind w:firstLine="0" w:firstLineChars="0"/>
      <w:outlineLvl w:val="1"/>
    </w:pPr>
    <w:rPr>
      <w:rFonts w:eastAsia="黑体" w:cstheme="majorBidi"/>
      <w:b/>
      <w:bCs/>
      <w:szCs w:val="32"/>
    </w:rPr>
  </w:style>
  <w:style w:type="paragraph" w:styleId="6">
    <w:name w:val="heading 3"/>
    <w:basedOn w:val="1"/>
    <w:next w:val="1"/>
    <w:link w:val="30"/>
    <w:unhideWhenUsed/>
    <w:qFormat/>
    <w:uiPriority w:val="9"/>
    <w:pPr>
      <w:keepNext/>
      <w:keepLines/>
      <w:spacing w:before="260" w:after="260"/>
      <w:ind w:firstLine="0" w:firstLineChars="0"/>
      <w:outlineLvl w:val="2"/>
    </w:pPr>
    <w:rPr>
      <w:rFonts w:eastAsia="楷体"/>
      <w:bCs/>
      <w:szCs w:val="32"/>
    </w:rPr>
  </w:style>
  <w:style w:type="paragraph" w:styleId="7">
    <w:name w:val="heading 4"/>
    <w:basedOn w:val="1"/>
    <w:next w:val="1"/>
    <w:link w:val="36"/>
    <w:unhideWhenUsed/>
    <w:qFormat/>
    <w:uiPriority w:val="9"/>
    <w:pPr>
      <w:keepNext/>
      <w:keepLines/>
      <w:spacing w:before="280" w:after="290" w:line="376" w:lineRule="atLeast"/>
      <w:outlineLvl w:val="3"/>
    </w:pPr>
    <w:rPr>
      <w:rFonts w:asciiTheme="majorHAnsi" w:hAnsiTheme="majorHAnsi" w:eastAsiaTheme="majorEastAsia" w:cstheme="majorBidi"/>
      <w:b/>
      <w:bCs/>
      <w:szCs w:val="28"/>
    </w:rPr>
  </w:style>
  <w:style w:type="paragraph" w:styleId="8">
    <w:name w:val="heading 5"/>
    <w:basedOn w:val="1"/>
    <w:next w:val="1"/>
    <w:qFormat/>
    <w:uiPriority w:val="0"/>
    <w:pPr>
      <w:keepNext/>
      <w:keepLines/>
      <w:spacing w:before="50" w:beforeLines="50" w:after="50" w:afterLines="50" w:line="240" w:lineRule="auto"/>
      <w:outlineLvl w:val="4"/>
    </w:pPr>
    <w:rPr>
      <w:rFonts w:eastAsia="黑体"/>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rPr>
      <w:rFonts w:ascii="Times New Roman" w:hAnsi="Times New Roman"/>
      <w:szCs w:val="24"/>
    </w:rPr>
  </w:style>
  <w:style w:type="paragraph" w:styleId="9">
    <w:name w:val="caption"/>
    <w:basedOn w:val="1"/>
    <w:next w:val="1"/>
    <w:unhideWhenUsed/>
    <w:qFormat/>
    <w:uiPriority w:val="35"/>
    <w:pPr>
      <w:jc w:val="center"/>
    </w:pPr>
    <w:rPr>
      <w:rFonts w:eastAsia="黑体" w:cstheme="majorBidi"/>
      <w:szCs w:val="20"/>
    </w:rPr>
  </w:style>
  <w:style w:type="paragraph" w:styleId="10">
    <w:name w:val="Document Map"/>
    <w:basedOn w:val="1"/>
    <w:link w:val="26"/>
    <w:semiHidden/>
    <w:unhideWhenUsed/>
    <w:qFormat/>
    <w:uiPriority w:val="99"/>
    <w:rPr>
      <w:rFonts w:ascii="宋体"/>
      <w:sz w:val="18"/>
      <w:szCs w:val="18"/>
    </w:rPr>
  </w:style>
  <w:style w:type="paragraph" w:styleId="11">
    <w:name w:val="annotation text"/>
    <w:basedOn w:val="1"/>
    <w:link w:val="38"/>
    <w:semiHidden/>
    <w:unhideWhenUsed/>
    <w:qFormat/>
    <w:uiPriority w:val="99"/>
    <w:pPr>
      <w:jc w:val="left"/>
    </w:pPr>
  </w:style>
  <w:style w:type="paragraph" w:styleId="12">
    <w:name w:val="toc 3"/>
    <w:basedOn w:val="1"/>
    <w:next w:val="1"/>
    <w:semiHidden/>
    <w:unhideWhenUsed/>
    <w:qFormat/>
    <w:uiPriority w:val="39"/>
    <w:pPr>
      <w:adjustRightInd/>
      <w:snapToGrid/>
      <w:spacing w:after="100" w:line="276" w:lineRule="auto"/>
      <w:ind w:left="440" w:firstLine="0" w:firstLineChars="0"/>
      <w:jc w:val="left"/>
    </w:pPr>
    <w:rPr>
      <w:rFonts w:asciiTheme="minorHAnsi" w:hAnsiTheme="minorHAnsi" w:eastAsiaTheme="minorEastAsia"/>
      <w:sz w:val="22"/>
    </w:rPr>
  </w:style>
  <w:style w:type="paragraph" w:styleId="13">
    <w:name w:val="Balloon Text"/>
    <w:basedOn w:val="1"/>
    <w:link w:val="35"/>
    <w:semiHidden/>
    <w:unhideWhenUsed/>
    <w:qFormat/>
    <w:uiPriority w:val="99"/>
    <w:pPr>
      <w:spacing w:line="240" w:lineRule="auto"/>
    </w:pPr>
    <w:rPr>
      <w:sz w:val="18"/>
      <w:szCs w:val="18"/>
    </w:rPr>
  </w:style>
  <w:style w:type="paragraph" w:styleId="14">
    <w:name w:val="footer"/>
    <w:basedOn w:val="1"/>
    <w:link w:val="34"/>
    <w:unhideWhenUsed/>
    <w:qFormat/>
    <w:uiPriority w:val="99"/>
    <w:pPr>
      <w:tabs>
        <w:tab w:val="center" w:pos="4153"/>
        <w:tab w:val="right" w:pos="8306"/>
      </w:tabs>
      <w:spacing w:line="240" w:lineRule="atLeast"/>
      <w:jc w:val="left"/>
    </w:pPr>
    <w:rPr>
      <w:sz w:val="18"/>
      <w:szCs w:val="18"/>
    </w:rPr>
  </w:style>
  <w:style w:type="paragraph" w:styleId="15">
    <w:name w:val="header"/>
    <w:basedOn w:val="1"/>
    <w:link w:val="33"/>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semiHidden/>
    <w:unhideWhenUsed/>
    <w:qFormat/>
    <w:uiPriority w:val="99"/>
    <w:pPr>
      <w:adjustRightInd/>
      <w:snapToGrid/>
      <w:spacing w:before="100" w:beforeAutospacing="1" w:after="100" w:afterAutospacing="1" w:line="240" w:lineRule="auto"/>
      <w:ind w:firstLine="0" w:firstLineChars="0"/>
      <w:jc w:val="left"/>
    </w:pPr>
    <w:rPr>
      <w:rFonts w:ascii="宋体" w:hAnsi="宋体" w:cs="宋体"/>
      <w:szCs w:val="24"/>
    </w:rPr>
  </w:style>
  <w:style w:type="paragraph" w:styleId="19">
    <w:name w:val="annotation subject"/>
    <w:basedOn w:val="11"/>
    <w:next w:val="11"/>
    <w:link w:val="39"/>
    <w:semiHidden/>
    <w:unhideWhenUsed/>
    <w:qFormat/>
    <w:uiPriority w:val="99"/>
    <w:rPr>
      <w:b/>
      <w:bCs/>
    </w:rPr>
  </w:style>
  <w:style w:type="table" w:styleId="21">
    <w:name w:val="Table Grid"/>
    <w:basedOn w:val="20"/>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styleId="24">
    <w:name w:val="annotation reference"/>
    <w:basedOn w:val="22"/>
    <w:semiHidden/>
    <w:unhideWhenUsed/>
    <w:qFormat/>
    <w:uiPriority w:val="99"/>
    <w:rPr>
      <w:sz w:val="21"/>
      <w:szCs w:val="21"/>
    </w:rPr>
  </w:style>
  <w:style w:type="character" w:customStyle="1" w:styleId="25">
    <w:name w:val="标题 1 字符"/>
    <w:basedOn w:val="22"/>
    <w:link w:val="4"/>
    <w:qFormat/>
    <w:uiPriority w:val="9"/>
    <w:rPr>
      <w:rFonts w:ascii="Times New Roman" w:hAnsi="Times New Roman" w:eastAsia="黑体"/>
      <w:b/>
      <w:bCs/>
      <w:kern w:val="44"/>
      <w:sz w:val="28"/>
      <w:szCs w:val="44"/>
    </w:rPr>
  </w:style>
  <w:style w:type="character" w:customStyle="1" w:styleId="26">
    <w:name w:val="文档结构图 字符"/>
    <w:basedOn w:val="22"/>
    <w:link w:val="10"/>
    <w:semiHidden/>
    <w:qFormat/>
    <w:uiPriority w:val="99"/>
    <w:rPr>
      <w:rFonts w:ascii="宋体" w:hAnsi="Tahoma" w:eastAsia="宋体"/>
      <w:sz w:val="18"/>
      <w:szCs w:val="18"/>
    </w:rPr>
  </w:style>
  <w:style w:type="paragraph" w:styleId="27">
    <w:name w:val="List Paragraph"/>
    <w:basedOn w:val="1"/>
    <w:qFormat/>
    <w:uiPriority w:val="34"/>
    <w:pPr>
      <w:ind w:firstLine="420"/>
    </w:pPr>
  </w:style>
  <w:style w:type="paragraph" w:styleId="28">
    <w:name w:val="No Spacing"/>
    <w:qFormat/>
    <w:uiPriority w:val="1"/>
    <w:pPr>
      <w:adjustRightInd w:val="0"/>
      <w:snapToGrid w:val="0"/>
      <w:spacing w:after="0" w:line="240" w:lineRule="auto"/>
    </w:pPr>
    <w:rPr>
      <w:rFonts w:ascii="Times New Roman" w:hAnsi="Times New Roman" w:eastAsia="宋体" w:cstheme="minorBidi"/>
      <w:sz w:val="24"/>
      <w:szCs w:val="22"/>
      <w:lang w:val="en-US" w:eastAsia="zh-CN" w:bidi="ar-SA"/>
    </w:rPr>
  </w:style>
  <w:style w:type="character" w:customStyle="1" w:styleId="29">
    <w:name w:val="标题 2 字符"/>
    <w:basedOn w:val="22"/>
    <w:link w:val="5"/>
    <w:qFormat/>
    <w:uiPriority w:val="9"/>
    <w:rPr>
      <w:rFonts w:ascii="Times New Roman" w:hAnsi="Times New Roman" w:eastAsia="黑体" w:cstheme="majorBidi"/>
      <w:b/>
      <w:bCs/>
      <w:sz w:val="24"/>
      <w:szCs w:val="32"/>
    </w:rPr>
  </w:style>
  <w:style w:type="character" w:customStyle="1" w:styleId="30">
    <w:name w:val="标题 3 字符"/>
    <w:basedOn w:val="22"/>
    <w:link w:val="6"/>
    <w:qFormat/>
    <w:uiPriority w:val="9"/>
    <w:rPr>
      <w:rFonts w:ascii="Times New Roman" w:hAnsi="Times New Roman" w:eastAsia="楷体"/>
      <w:bCs/>
      <w:sz w:val="24"/>
      <w:szCs w:val="32"/>
    </w:rPr>
  </w:style>
  <w:style w:type="paragraph" w:customStyle="1" w:styleId="31">
    <w:name w:val="表格内容"/>
    <w:basedOn w:val="1"/>
    <w:link w:val="32"/>
    <w:qFormat/>
    <w:uiPriority w:val="0"/>
    <w:pPr>
      <w:spacing w:line="240" w:lineRule="auto"/>
      <w:ind w:firstLine="0" w:firstLineChars="0"/>
      <w:jc w:val="left"/>
    </w:pPr>
    <w:rPr>
      <w:rFonts w:cs="宋体"/>
      <w:bCs/>
      <w:sz w:val="21"/>
      <w:szCs w:val="21"/>
    </w:rPr>
  </w:style>
  <w:style w:type="character" w:customStyle="1" w:styleId="32">
    <w:name w:val="表格内容 Char"/>
    <w:basedOn w:val="22"/>
    <w:link w:val="31"/>
    <w:qFormat/>
    <w:uiPriority w:val="0"/>
    <w:rPr>
      <w:rFonts w:ascii="Times New Roman" w:hAnsi="Times New Roman" w:eastAsia="宋体" w:cs="宋体"/>
      <w:bCs/>
      <w:sz w:val="21"/>
      <w:szCs w:val="21"/>
    </w:rPr>
  </w:style>
  <w:style w:type="character" w:customStyle="1" w:styleId="33">
    <w:name w:val="页眉 字符"/>
    <w:basedOn w:val="22"/>
    <w:link w:val="15"/>
    <w:qFormat/>
    <w:uiPriority w:val="99"/>
    <w:rPr>
      <w:rFonts w:ascii="Times New Roman" w:hAnsi="Times New Roman" w:eastAsia="宋体"/>
      <w:sz w:val="18"/>
      <w:szCs w:val="18"/>
    </w:rPr>
  </w:style>
  <w:style w:type="character" w:customStyle="1" w:styleId="34">
    <w:name w:val="页脚 字符"/>
    <w:basedOn w:val="22"/>
    <w:link w:val="14"/>
    <w:qFormat/>
    <w:uiPriority w:val="99"/>
    <w:rPr>
      <w:rFonts w:ascii="Times New Roman" w:hAnsi="Times New Roman" w:eastAsia="宋体"/>
      <w:sz w:val="18"/>
      <w:szCs w:val="18"/>
    </w:rPr>
  </w:style>
  <w:style w:type="character" w:customStyle="1" w:styleId="35">
    <w:name w:val="批注框文本 字符"/>
    <w:basedOn w:val="22"/>
    <w:link w:val="13"/>
    <w:semiHidden/>
    <w:qFormat/>
    <w:uiPriority w:val="99"/>
    <w:rPr>
      <w:rFonts w:ascii="Times New Roman" w:hAnsi="Times New Roman" w:eastAsia="宋体"/>
      <w:sz w:val="18"/>
      <w:szCs w:val="18"/>
    </w:rPr>
  </w:style>
  <w:style w:type="character" w:customStyle="1" w:styleId="36">
    <w:name w:val="标题 4 字符"/>
    <w:basedOn w:val="22"/>
    <w:link w:val="7"/>
    <w:qFormat/>
    <w:uiPriority w:val="9"/>
    <w:rPr>
      <w:rFonts w:asciiTheme="majorHAnsi" w:hAnsiTheme="majorHAnsi" w:eastAsiaTheme="majorEastAsia" w:cstheme="majorBidi"/>
      <w:b/>
      <w:bCs/>
      <w:sz w:val="28"/>
      <w:szCs w:val="28"/>
    </w:rPr>
  </w:style>
  <w:style w:type="paragraph" w:customStyle="1" w:styleId="37">
    <w:name w:val="TOC Heading"/>
    <w:basedOn w:val="4"/>
    <w:next w:val="1"/>
    <w:semiHidden/>
    <w:unhideWhenUsed/>
    <w:qFormat/>
    <w:uiPriority w:val="39"/>
    <w:pPr>
      <w:adjustRightInd/>
      <w:snapToGrid/>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38">
    <w:name w:val="批注文字 字符"/>
    <w:basedOn w:val="22"/>
    <w:link w:val="11"/>
    <w:semiHidden/>
    <w:qFormat/>
    <w:uiPriority w:val="99"/>
    <w:rPr>
      <w:rFonts w:ascii="Times New Roman" w:hAnsi="Times New Roman" w:eastAsia="宋体"/>
      <w:sz w:val="24"/>
    </w:rPr>
  </w:style>
  <w:style w:type="character" w:customStyle="1" w:styleId="39">
    <w:name w:val="批注主题 字符"/>
    <w:basedOn w:val="38"/>
    <w:link w:val="19"/>
    <w:semiHidden/>
    <w:qFormat/>
    <w:uiPriority w:val="99"/>
    <w:rPr>
      <w:rFonts w:ascii="Times New Roman" w:hAnsi="Times New Roman" w:eastAsia="宋体"/>
      <w:b/>
      <w:bCs/>
      <w:sz w:val="24"/>
    </w:rPr>
  </w:style>
  <w:style w:type="paragraph" w:customStyle="1" w:styleId="40">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character" w:customStyle="1" w:styleId="41">
    <w:name w:val="表样式1 Char"/>
    <w:link w:val="42"/>
    <w:qFormat/>
    <w:uiPriority w:val="0"/>
    <w:rPr>
      <w:rFonts w:eastAsia="黑体"/>
      <w:bCs/>
      <w:color w:val="000000"/>
      <w:sz w:val="21"/>
      <w:szCs w:val="24"/>
    </w:rPr>
  </w:style>
  <w:style w:type="paragraph" w:customStyle="1" w:styleId="42">
    <w:name w:val="表样式1"/>
    <w:basedOn w:val="1"/>
    <w:link w:val="41"/>
    <w:qFormat/>
    <w:uiPriority w:val="0"/>
    <w:pPr>
      <w:spacing w:after="50" w:afterLines="50" w:line="288" w:lineRule="auto"/>
      <w:jc w:val="center"/>
    </w:pPr>
    <w:rPr>
      <w:rFonts w:eastAsia="黑体"/>
      <w:bCs/>
      <w:color w:val="000000"/>
      <w:sz w:val="21"/>
      <w:szCs w:val="24"/>
    </w:rPr>
  </w:style>
  <w:style w:type="character" w:customStyle="1" w:styleId="43">
    <w:name w:val="A0"/>
    <w:qFormat/>
    <w:uiPriority w:val="0"/>
    <w:rPr>
      <w:rFonts w:cs="MYuenHKS-SemiBold"/>
      <w:color w:val="000000"/>
      <w:sz w:val="16"/>
      <w:szCs w:val="16"/>
    </w:rPr>
  </w:style>
  <w:style w:type="paragraph" w:customStyle="1" w:styleId="44">
    <w:name w:val="常规正文"/>
    <w:basedOn w:val="1"/>
    <w:qFormat/>
    <w:uiPriority w:val="0"/>
    <w:pPr>
      <w:spacing w:line="300" w:lineRule="auto"/>
      <w:ind w:firstLine="200" w:firstLineChars="200"/>
    </w:pPr>
    <w:rPr>
      <w:rFonts w:ascii="Times New Roman" w:hAnsi="Times New Roman"/>
      <w:sz w:val="24"/>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WPSOffice手动目录 2"/>
    <w:qFormat/>
    <w:uiPriority w:val="0"/>
    <w:pPr>
      <w:ind w:leftChars="200"/>
    </w:pPr>
    <w:rPr>
      <w:rFonts w:ascii="Times New Roman" w:hAnsi="Times New Roman" w:eastAsia="宋体" w:cs="Times New Roman"/>
      <w:sz w:val="20"/>
      <w:szCs w:val="20"/>
    </w:rPr>
  </w:style>
  <w:style w:type="paragraph" w:customStyle="1" w:styleId="47">
    <w:name w:val="0"/>
    <w:basedOn w:val="1"/>
    <w:qFormat/>
    <w:uiPriority w:val="0"/>
    <w:pPr>
      <w:widowControl/>
      <w:snapToGrid w:val="0"/>
      <w:spacing w:line="601" w:lineRule="atLeast"/>
      <w:ind w:left="1"/>
    </w:pPr>
    <w:rPr>
      <w:spacing w:val="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881785-A98E-4228-89F4-B2AC14437924}">
  <ds:schemaRefs/>
</ds:datastoreItem>
</file>

<file path=docProps/app.xml><?xml version="1.0" encoding="utf-8"?>
<Properties xmlns="http://schemas.openxmlformats.org/officeDocument/2006/extended-properties" xmlns:vt="http://schemas.openxmlformats.org/officeDocument/2006/docPropsVTypes">
  <Template>Normal</Template>
  <Pages>9</Pages>
  <Words>813</Words>
  <Characters>4637</Characters>
  <Lines>38</Lines>
  <Paragraphs>10</Paragraphs>
  <TotalTime>5</TotalTime>
  <ScaleCrop>false</ScaleCrop>
  <LinksUpToDate>false</LinksUpToDate>
  <CharactersWithSpaces>5440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2018-09-06T08:12:00Z</dcterms:created>
  <dc:creator>sculin</dc:creator>
  <cp:lastModifiedBy>罗露</cp:lastModifiedBy>
  <cp:lastPrinted>2019-11-14T03:37:00Z</cp:lastPrinted>
  <dcterms:modified xsi:type="dcterms:W3CDTF">2020-10-31T01:39:29Z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